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澳门特别行政区</w:t>
      </w:r>
      <w:r>
        <w:rPr>
          <w:rFonts w:hint="default" w:ascii="Times New Roman" w:hAnsi="Times New Roman" w:eastAsia="宋体" w:cs="Times New Roman"/>
          <w:bCs/>
          <w:sz w:val="44"/>
          <w:szCs w:val="44"/>
        </w:rPr>
        <w:t>2013</w:t>
      </w:r>
      <w:r>
        <w:rPr>
          <w:rFonts w:ascii="宋体" w:hAnsi="宋体" w:eastAsia="宋体" w:cs="Arial"/>
          <w:bCs/>
          <w:sz w:val="44"/>
          <w:szCs w:val="44"/>
        </w:rPr>
        <w:t>年立法会产生办法和</w:t>
      </w:r>
    </w:p>
    <w:p>
      <w:pPr>
        <w:jc w:val="center"/>
        <w:rPr>
          <w:rFonts w:ascii="宋体" w:hAnsi="宋体" w:eastAsia="宋体" w:cs="Arial"/>
          <w:bCs/>
          <w:sz w:val="44"/>
          <w:szCs w:val="44"/>
        </w:rPr>
      </w:pPr>
      <w:r>
        <w:rPr>
          <w:rFonts w:hint="default" w:ascii="Times New Roman" w:hAnsi="Times New Roman" w:eastAsia="宋体" w:cs="Times New Roman"/>
          <w:bCs/>
          <w:sz w:val="44"/>
          <w:szCs w:val="44"/>
        </w:rPr>
        <w:t>2014</w:t>
      </w:r>
      <w:r>
        <w:rPr>
          <w:rFonts w:ascii="宋体" w:hAnsi="宋体" w:eastAsia="宋体" w:cs="Arial"/>
          <w:bCs/>
          <w:sz w:val="44"/>
          <w:szCs w:val="44"/>
        </w:rPr>
        <w:t>年行政长官产生办法有关问题的决定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2012</w:t>
      </w:r>
      <w:r>
        <w:rPr>
          <w:rFonts w:hint="eastAsia" w:ascii="楷体_GB2312" w:hAnsi="Arial" w:eastAsia="楷体_GB2312" w:cs="Arial"/>
          <w:szCs w:val="32"/>
        </w:rPr>
        <w:t>年</w:t>
      </w:r>
      <w:r>
        <w:rPr>
          <w:rFonts w:hint="default" w:ascii="Times New Roman" w:hAnsi="Times New Roman" w:eastAsia="楷体_GB2312" w:cs="Times New Roman"/>
          <w:szCs w:val="32"/>
        </w:rPr>
        <w:t>2</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日第十一届全国人民代表大会常务委员会第二十五次会议通过）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第十一届全国人民代表大会常务委员会第二十五次会议审议了澳门特别行政区行政长官崔世安</w:t>
      </w:r>
      <w:r>
        <w:rPr>
          <w:rFonts w:hint="default" w:ascii="Times New Roman" w:hAnsi="Times New Roman" w:eastAsia="仿宋_GB2312" w:cs="Times New Roman"/>
          <w:sz w:val="32"/>
        </w:rPr>
        <w:t>2012</w:t>
      </w:r>
      <w:r>
        <w:rPr>
          <w:rFonts w:ascii="仿宋_GB2312" w:hAnsi="仿宋_GB2312" w:eastAsia="仿宋_GB2312" w:cs="仿宋_GB2312"/>
          <w:sz w:val="32"/>
        </w:rPr>
        <w:t>年</w:t>
      </w:r>
      <w:r>
        <w:rPr>
          <w:rFonts w:hint="default" w:ascii="Times New Roman" w:hAnsi="Times New Roman" w:eastAsia="仿宋_GB2312" w:cs="Times New Roman"/>
          <w:sz w:val="32"/>
        </w:rPr>
        <w:t>2</w:t>
      </w:r>
      <w:r>
        <w:rPr>
          <w:rFonts w:ascii="仿宋_GB2312" w:hAnsi="仿宋_GB2312" w:eastAsia="仿宋_GB2312" w:cs="仿宋_GB2312"/>
          <w:sz w:val="32"/>
        </w:rPr>
        <w:t>月</w:t>
      </w:r>
      <w:r>
        <w:rPr>
          <w:rFonts w:hint="default" w:ascii="Times New Roman" w:hAnsi="Times New Roman" w:eastAsia="仿宋_GB2312" w:cs="Times New Roman"/>
          <w:sz w:val="32"/>
        </w:rPr>
        <w:t>7</w:t>
      </w:r>
      <w:r>
        <w:rPr>
          <w:rFonts w:ascii="仿宋_GB2312" w:hAnsi="仿宋_GB2312" w:eastAsia="仿宋_GB2312" w:cs="仿宋_GB2312"/>
          <w:sz w:val="32"/>
        </w:rPr>
        <w:t>日提交的《关于澳门特别行政区</w:t>
      </w:r>
      <w:r>
        <w:rPr>
          <w:rFonts w:hint="default" w:ascii="Times New Roman" w:hAnsi="Times New Roman" w:eastAsia="仿宋_GB2312" w:cs="Times New Roman"/>
          <w:sz w:val="32"/>
        </w:rPr>
        <w:t>2013</w:t>
      </w:r>
      <w:r>
        <w:rPr>
          <w:rFonts w:ascii="仿宋_GB2312" w:hAnsi="仿宋_GB2312" w:eastAsia="仿宋_GB2312" w:cs="仿宋_GB2312"/>
          <w:sz w:val="32"/>
        </w:rPr>
        <w:t>年立法会产生办法和</w:t>
      </w:r>
      <w:r>
        <w:rPr>
          <w:rFonts w:hint="default" w:ascii="Times New Roman" w:hAnsi="Times New Roman" w:eastAsia="仿宋_GB2312" w:cs="Times New Roman"/>
          <w:sz w:val="32"/>
        </w:rPr>
        <w:t>2014</w:t>
      </w:r>
      <w:r>
        <w:rPr>
          <w:rFonts w:ascii="仿宋_GB2312" w:hAnsi="仿宋_GB2312" w:eastAsia="仿宋_GB2312" w:cs="仿宋_GB2312"/>
          <w:sz w:val="32"/>
        </w:rPr>
        <w:t>年行政长官产生办法是否需要修改的报告》，并在会前征询了国务院港澳事务办公室的意见。</w:t>
      </w:r>
    </w:p>
    <w:p>
      <w:pPr>
        <w:spacing w:line="240" w:lineRule="auto"/>
        <w:ind w:firstLine="640"/>
        <w:jc w:val="both"/>
      </w:pPr>
      <w:r>
        <w:rPr>
          <w:rFonts w:ascii="仿宋_GB2312" w:hAnsi="仿宋_GB2312" w:eastAsia="仿宋_GB2312" w:cs="仿宋_GB2312"/>
          <w:sz w:val="32"/>
        </w:rPr>
        <w:t>会议认为，《中华人民共和国澳门特别行政区基本法》（以下简称澳门基本法）第四十七条已明确规定，澳门特别行政区行政长官在当地通过选举或协商产生，由中央人民政府任命。澳门基本法第六十八条已明确规定，立法会多数议员由选举产生。有关澳门特别行政区行政长官产生办法和立法会产生办法的任何修改，都应当符合澳门基本法的上述规定，并遵循从澳门的实际情况出发，有利于保持澳门特别行政区基本政治制度的稳定，有利于行政主导政治体制的有效运作，有利于兼顾澳门社会各阶层各界别的利益，有利于保持澳门的长期繁荣稳定和发</w:t>
      </w:r>
      <w:bookmarkStart w:id="3" w:name="_GoBack"/>
      <w:bookmarkEnd w:id="3"/>
      <w:r>
        <w:rPr>
          <w:rFonts w:ascii="仿宋_GB2312" w:hAnsi="仿宋_GB2312" w:eastAsia="仿宋_GB2312" w:cs="仿宋_GB2312"/>
          <w:sz w:val="32"/>
        </w:rPr>
        <w:t>展等原则。</w:t>
      </w:r>
    </w:p>
    <w:p>
      <w:pPr>
        <w:spacing w:line="240" w:lineRule="auto"/>
        <w:ind w:firstLine="640"/>
        <w:jc w:val="both"/>
      </w:pPr>
      <w:r>
        <w:rPr>
          <w:rFonts w:ascii="仿宋_GB2312" w:hAnsi="仿宋_GB2312" w:eastAsia="仿宋_GB2312" w:cs="仿宋_GB2312"/>
          <w:sz w:val="32"/>
        </w:rPr>
        <w:t>会议认为，澳门基本法附件一第一条关于行政长官由一个具有广泛代表性的选举委员会选举产生的规定，澳门基本法附件二第一条关于立法会由直接选举的议员、间接选举的议员和委任的议员三部分组成的规定，是符合上述原则的基本制度安排，并得到澳门社会各界的普遍肯定和认同，应当长期保持不变。同时，为适应澳门社会的发展进步，有需要对</w:t>
      </w:r>
      <w:r>
        <w:rPr>
          <w:rFonts w:hint="default" w:ascii="Times New Roman" w:hAnsi="Times New Roman" w:eastAsia="仿宋_GB2312" w:cs="Times New Roman"/>
          <w:sz w:val="32"/>
        </w:rPr>
        <w:t>2013</w:t>
      </w:r>
      <w:r>
        <w:rPr>
          <w:rFonts w:ascii="仿宋_GB2312" w:hAnsi="仿宋_GB2312" w:eastAsia="仿宋_GB2312" w:cs="仿宋_GB2312"/>
          <w:sz w:val="32"/>
        </w:rPr>
        <w:t>年立法会产生办法和</w:t>
      </w:r>
      <w:r>
        <w:rPr>
          <w:rFonts w:hint="default" w:ascii="Times New Roman" w:hAnsi="Times New Roman" w:eastAsia="仿宋_GB2312" w:cs="Times New Roman"/>
          <w:sz w:val="32"/>
        </w:rPr>
        <w:t>2014</w:t>
      </w:r>
      <w:r>
        <w:rPr>
          <w:rFonts w:ascii="仿宋_GB2312" w:hAnsi="仿宋_GB2312" w:eastAsia="仿宋_GB2312" w:cs="仿宋_GB2312"/>
          <w:sz w:val="32"/>
        </w:rPr>
        <w:t>年行政长官产生办法作出适当的修改。</w:t>
      </w:r>
    </w:p>
    <w:p>
      <w:pPr>
        <w:spacing w:line="240" w:lineRule="auto"/>
        <w:ind w:firstLine="640"/>
        <w:jc w:val="both"/>
      </w:pPr>
      <w:r>
        <w:rPr>
          <w:rFonts w:ascii="仿宋_GB2312" w:hAnsi="仿宋_GB2312" w:eastAsia="仿宋_GB2312" w:cs="仿宋_GB2312"/>
          <w:sz w:val="32"/>
        </w:rPr>
        <w:t>鉴此，全国人大常委会依据澳门基本法的有关规定和《全国人民代表大会常务委员会关于〈中华人民共和国澳门特别行政区基本法〉附件一第七条和附件二第三条的解释》，对澳门特别行政区</w:t>
      </w:r>
      <w:r>
        <w:rPr>
          <w:rFonts w:hint="default" w:ascii="Times New Roman" w:hAnsi="Times New Roman" w:eastAsia="仿宋_GB2312" w:cs="Times New Roman"/>
          <w:sz w:val="32"/>
        </w:rPr>
        <w:t>2013</w:t>
      </w:r>
      <w:r>
        <w:rPr>
          <w:rFonts w:ascii="仿宋_GB2312" w:hAnsi="仿宋_GB2312" w:eastAsia="仿宋_GB2312" w:cs="仿宋_GB2312"/>
          <w:sz w:val="32"/>
        </w:rPr>
        <w:t>年立法会产生办法和</w:t>
      </w:r>
      <w:r>
        <w:rPr>
          <w:rFonts w:hint="default" w:ascii="Times New Roman" w:hAnsi="Times New Roman" w:eastAsia="仿宋_GB2312" w:cs="Times New Roman"/>
          <w:sz w:val="32"/>
        </w:rPr>
        <w:t>2014</w:t>
      </w:r>
      <w:r>
        <w:rPr>
          <w:rFonts w:ascii="仿宋_GB2312" w:hAnsi="仿宋_GB2312" w:eastAsia="仿宋_GB2312" w:cs="仿宋_GB2312"/>
          <w:sz w:val="32"/>
        </w:rPr>
        <w:t>年行政长官产生办法决定如下：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澳门基本法附件一第一条关于行政长官由一个具有广泛代表性的选举委员会选举产生的规定维持不变，澳门基本法附件二第一条关于第三届及以后各届立法会由直接选举的议员、间接选举的议员和委任的议员三部分组成的规定维持不变。</w:t>
      </w:r>
    </w:p>
    <w:p>
      <w:pPr>
        <w:spacing w:line="240" w:lineRule="auto"/>
        <w:ind w:firstLine="640"/>
        <w:jc w:val="both"/>
      </w:pPr>
      <w:r>
        <w:rPr>
          <w:rFonts w:ascii="仿宋_GB2312" w:hAnsi="仿宋_GB2312" w:eastAsia="仿宋_GB2312" w:cs="仿宋_GB2312"/>
          <w:sz w:val="32"/>
        </w:rPr>
        <w:t>二、在不违反本决定第一条的前提下，</w:t>
      </w:r>
      <w:r>
        <w:rPr>
          <w:rFonts w:hint="default" w:ascii="Times New Roman" w:hAnsi="Times New Roman" w:eastAsia="仿宋_GB2312" w:cs="Times New Roman"/>
          <w:sz w:val="32"/>
        </w:rPr>
        <w:t>2013</w:t>
      </w:r>
      <w:r>
        <w:rPr>
          <w:rFonts w:ascii="仿宋_GB2312" w:hAnsi="仿宋_GB2312" w:eastAsia="仿宋_GB2312" w:cs="仿宋_GB2312"/>
          <w:sz w:val="32"/>
        </w:rPr>
        <w:t>年澳门特别行政区立法会产生办法和</w:t>
      </w:r>
      <w:r>
        <w:rPr>
          <w:rFonts w:hint="default" w:ascii="Times New Roman" w:hAnsi="Times New Roman" w:eastAsia="仿宋_GB2312" w:cs="Times New Roman"/>
          <w:sz w:val="32"/>
        </w:rPr>
        <w:t>2014</w:t>
      </w:r>
      <w:r>
        <w:rPr>
          <w:rFonts w:ascii="仿宋_GB2312" w:hAnsi="仿宋_GB2312" w:eastAsia="仿宋_GB2312" w:cs="仿宋_GB2312"/>
          <w:sz w:val="32"/>
        </w:rPr>
        <w:t>年澳门特别行政区行政长官产生办法，可按照澳门基本法第四十七条、第六十八条和附件一第七条、附件二第三条的规定作出适当修改。</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7C4B0372"/>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2021-01-29T09:06:19Z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