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全国人民代表大会常务委员会关于国务院</w:t>
      </w:r>
    </w:p>
    <w:p>
      <w:pPr>
        <w:jc w:val="center"/>
        <w:rPr>
          <w:rFonts w:ascii="宋体" w:hAnsi="宋体" w:eastAsia="宋体" w:cs="Arial"/>
          <w:bCs/>
          <w:sz w:val="44"/>
          <w:szCs w:val="44"/>
        </w:rPr>
      </w:pPr>
      <w:r>
        <w:rPr>
          <w:rFonts w:ascii="宋体" w:hAnsi="宋体" w:eastAsia="宋体" w:cs="Arial"/>
          <w:bCs/>
          <w:sz w:val="44"/>
          <w:szCs w:val="44"/>
        </w:rPr>
        <w:t>机构改革涉及法律规定的行政机关</w:t>
      </w:r>
    </w:p>
    <w:p>
      <w:pPr>
        <w:jc w:val="center"/>
        <w:rPr>
          <w:rFonts w:ascii="宋体" w:hAnsi="宋体" w:eastAsia="宋体" w:cs="Arial"/>
          <w:bCs/>
          <w:sz w:val="44"/>
          <w:szCs w:val="44"/>
        </w:rPr>
      </w:pPr>
      <w:r>
        <w:rPr>
          <w:rFonts w:ascii="宋体" w:hAnsi="宋体" w:eastAsia="宋体" w:cs="Arial"/>
          <w:bCs/>
          <w:sz w:val="44"/>
          <w:szCs w:val="44"/>
        </w:rPr>
        <w:t>职责调整问题的决定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2018</w:t>
      </w:r>
      <w:r>
        <w:rPr>
          <w:rFonts w:hint="eastAsia" w:ascii="楷体_GB2312" w:hAnsi="Arial" w:eastAsia="楷体_GB2312" w:cs="Arial"/>
          <w:szCs w:val="32"/>
        </w:rPr>
        <w:t>年</w:t>
      </w:r>
      <w:r>
        <w:rPr>
          <w:rFonts w:hint="default" w:ascii="Times New Roman" w:hAnsi="Times New Roman" w:eastAsia="楷体_GB2312" w:cs="Times New Roman"/>
          <w:szCs w:val="32"/>
        </w:rPr>
        <w:t>4</w:t>
      </w:r>
      <w:r>
        <w:rPr>
          <w:rFonts w:hint="eastAsia" w:ascii="楷体_GB2312" w:hAnsi="Arial" w:eastAsia="楷体_GB2312" w:cs="Arial"/>
          <w:szCs w:val="32"/>
        </w:rPr>
        <w:t>月</w:t>
      </w:r>
      <w:r>
        <w:rPr>
          <w:rFonts w:hint="default" w:ascii="Times New Roman" w:hAnsi="Times New Roman" w:eastAsia="楷体_GB2312" w:cs="Times New Roman"/>
          <w:szCs w:val="32"/>
        </w:rPr>
        <w:t>27</w:t>
      </w:r>
      <w:r>
        <w:rPr>
          <w:rFonts w:hint="eastAsia" w:ascii="楷体_GB2312" w:hAnsi="Arial" w:eastAsia="楷体_GB2312" w:cs="Arial"/>
          <w:szCs w:val="32"/>
        </w:rPr>
        <w:t>日第十三届全国人民代表大会常务委员会第二次会议通过）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为了贯彻落实党</w:t>
      </w:r>
      <w:bookmarkStart w:id="3" w:name="_GoBack"/>
      <w:bookmarkEnd w:id="3"/>
      <w:r>
        <w:rPr>
          <w:rFonts w:ascii="仿宋_GB2312" w:hAnsi="仿宋_GB2312" w:eastAsia="仿宋_GB2312" w:cs="仿宋_GB2312"/>
          <w:sz w:val="32"/>
        </w:rPr>
        <w:t>的十九大和十九届二中、三中全会精神，按照第十三届全国人民代表大会第一次会议批准的《国务院机构改革方案》，平稳有序调整法律规定的行政机关职责和工作，确保行政机关依法履行职责、开展工作，推进国家机构设置和职能配置优化协同高效，现就国务院机构改革涉及法律规定的行政机关职责调整问题作出如下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现行法律规定的行政机关职责和工作，《国务院机构改革方案》确定由组建后的行政机关或者划入职责的行政机关承担的，在有关法律规定尚未修改之前，调整适用有关法律规定，由组建后的行政机关或者划入职责的行政机关承担；相关职责尚未调整到位之前，由原承担该职责和工作的行政机关继续承担。</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地方各级行政机关承担法律规定的职责和工作需要进行调整的，按照上述原则执行。</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法律规定上级行政机关对下级行政机关负有管理监督指导等职责的，上级行政机关职责已调整到位、下级行政机关职责尚未调整到位的，由《国务院机构改革方案》确定承担该职责的上级行政机关履行管理监督指导等职责。</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实施《国务院机构改革方案》需要制定、修改法律，或者需要由全国人民代表大会常务委员会作出相关决定的，国务院应当及时提出议案，依照法定程序提请审议。</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w:t>
      </w:r>
      <w:r>
        <w:rPr>
          <w:rFonts w:hint="eastAsia" w:ascii="仿宋_GB2312" w:hAnsi="仿宋_GB2312" w:eastAsia="仿宋_GB2312" w:cs="仿宋_GB2312"/>
          <w:sz w:val="32"/>
          <w:lang w:eastAsia="zh-CN"/>
        </w:rPr>
        <w:t>、</w:t>
      </w:r>
      <w:r>
        <w:rPr>
          <w:rFonts w:ascii="仿宋_GB2312" w:hAnsi="仿宋_GB2312" w:eastAsia="仿宋_GB2312" w:cs="仿宋_GB2312"/>
          <w:sz w:val="32"/>
        </w:rPr>
        <w:t>国务院及其有关部门应当精心组织，周密部署，确保行政机关履行法定职责、开展工作的连续性、稳定性、有效性，特别是做好涉及民生、应急、安全生产等重点领域工作。</w:t>
      </w:r>
    </w:p>
    <w:p>
      <w:pPr>
        <w:spacing w:line="240" w:lineRule="auto"/>
        <w:ind w:firstLine="640"/>
        <w:jc w:val="both"/>
      </w:pPr>
      <w:r>
        <w:rPr>
          <w:rFonts w:ascii="仿宋_GB2312" w:hAnsi="仿宋_GB2312" w:eastAsia="仿宋_GB2312" w:cs="仿宋_GB2312"/>
          <w:sz w:val="32"/>
        </w:rPr>
        <w:t>五</w:t>
      </w:r>
      <w:r>
        <w:rPr>
          <w:rFonts w:hint="eastAsia" w:ascii="仿宋_GB2312" w:hAnsi="仿宋_GB2312" w:eastAsia="仿宋_GB2312" w:cs="仿宋_GB2312"/>
          <w:sz w:val="32"/>
          <w:lang w:eastAsia="zh-CN"/>
        </w:rPr>
        <w:t>、</w:t>
      </w:r>
      <w:r>
        <w:rPr>
          <w:rFonts w:ascii="仿宋_GB2312" w:hAnsi="仿宋_GB2312" w:eastAsia="仿宋_GB2312" w:cs="仿宋_GB2312"/>
          <w:sz w:val="32"/>
        </w:rPr>
        <w:t>本决定自</w:t>
      </w:r>
      <w:r>
        <w:rPr>
          <w:rFonts w:hint="default" w:ascii="Times New Roman" w:hAnsi="Times New Roman" w:eastAsia="仿宋_GB2312" w:cs="Times New Roman"/>
          <w:sz w:val="32"/>
        </w:rPr>
        <w:t>2018</w:t>
      </w:r>
      <w:r>
        <w:rPr>
          <w:rFonts w:ascii="仿宋_GB2312" w:hAnsi="仿宋_GB2312" w:eastAsia="仿宋_GB2312" w:cs="仿宋_GB2312"/>
          <w:sz w:val="32"/>
        </w:rPr>
        <w:t>年</w:t>
      </w:r>
      <w:r>
        <w:rPr>
          <w:rFonts w:hint="default" w:ascii="Times New Roman" w:hAnsi="Times New Roman" w:eastAsia="仿宋_GB2312" w:cs="Times New Roman"/>
          <w:sz w:val="32"/>
        </w:rPr>
        <w:t>4</w:t>
      </w:r>
      <w:r>
        <w:rPr>
          <w:rFonts w:ascii="仿宋_GB2312" w:hAnsi="仿宋_GB2312" w:eastAsia="仿宋_GB2312" w:cs="仿宋_GB2312"/>
          <w:sz w:val="32"/>
        </w:rPr>
        <w:t>月</w:t>
      </w:r>
      <w:r>
        <w:rPr>
          <w:rFonts w:hint="default" w:ascii="Times New Roman" w:hAnsi="Times New Roman" w:eastAsia="仿宋_GB2312" w:cs="Times New Roman"/>
          <w:sz w:val="32"/>
        </w:rPr>
        <w:t>28</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53C253F9"/>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16</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2021-01-14T01:47:43Z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