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池州市人民代表大会常务委员会关于修改《池州市优化营商环境条例》的决定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池州市人民代表大会常务委员会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6" w:name="_GoBack"/>
      <w:bookmarkEnd w:id="6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关于修改《池州市优化营商环境条例》的决定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（2024年10月31日池州市第五届人民代表大会常务委员会第二十一次会议通过　2024年11月22日安徽省第十四届人民代表大会常务委员会第十二次会议批准）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池州市第五届人民代表大会常务委员会第二十一次会议决定对《池州市优化营商环境条例》作出如下修改：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bookmarkStart w:id="2" w:name="一、"/>
      <w:bookmarkEnd w:id="2"/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六条第一款修改为：“市和县、区人民政府应当持续优化企业开办和注销办理流程。企业开办实行市场主体登记、公章刻制、银行开户、涉税业务办理、社保登记、住房公积金缴存登记等集成办理，涉及事项一网填报、合并申请、一次办理。除依法需要实质审查、前置许可外，开办企业手续齐全的，应当在一个工作日内办结。推行企业注销网上一体化服务和证照并销改革。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bookmarkStart w:id="3" w:name="二、"/>
      <w:bookmarkEnd w:id="3"/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在第十四条第二款最后增写一句，内容为：“市场主体可以自主选择线上或者线下政务服务办理渠道。”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第十四条增加一款，作为第三款：“市和县、区人民政府以及有关部门不得将政务服务事项转为中介服务事项，没有法律、法规依据不得在政务服务前要求企业自行检测、检验、认证、鉴定、公证或者提供证明等。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bookmarkStart w:id="4" w:name="三、"/>
      <w:bookmarkEnd w:id="4"/>
      <w:r>
        <w:rPr>
          <w:rFonts w:hint="eastAsia" w:ascii="黑体" w:hAnsi="黑体" w:eastAsia="黑体" w:cs="黑体"/>
          <w:lang w:val="en-US" w:eastAsia="zh-CN"/>
        </w:rPr>
        <w:t>三、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将第二十条第一款中的“建立优化营商环境监督员制度”修改为“建立优化营商环境监督制度”。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bookmarkStart w:id="5" w:name="四、"/>
      <w:bookmarkEnd w:id="5"/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将第二十七条第二款、第三款删去。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本决定自2024年12月1日起施行。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《池州市优化营商环境条例》根据本决定作相应修改，重新公布。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7455C48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autoRedefine/>
    <w:qFormat/>
    <w:uiPriority w:val="99"/>
    <w:rPr>
      <w:sz w:val="18"/>
      <w:szCs w:val="18"/>
    </w:rPr>
  </w:style>
  <w:style w:type="character" w:customStyle="1" w:styleId="11">
    <w:name w:val="页眉 Char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2025-02-18T08:35:41Z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</Properties>
</file>