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pPr>
    </w:p>
    <w:p>
      <w:pPr>
        <w:pStyle w:val="7"/>
      </w:pPr>
    </w:p>
    <w:p>
      <w:pPr>
        <w:pStyle w:val="10"/>
        <w:rPr>
          <w:rFonts w:hint="eastAsia"/>
        </w:rPr>
      </w:pPr>
      <w:r>
        <w:rPr>
          <w:rFonts w:hint="eastAsia"/>
        </w:rPr>
        <w:t>中华人民共和国最高人民法院</w:t>
      </w:r>
    </w:p>
    <w:p>
      <w:pPr>
        <w:pStyle w:val="10"/>
      </w:pPr>
      <w:r>
        <w:rPr>
          <w:rFonts w:hint="eastAsia"/>
        </w:rPr>
        <w:t>公    告</w:t>
      </w:r>
    </w:p>
    <w:p>
      <w:pPr>
        <w:pStyle w:val="7"/>
      </w:pPr>
    </w:p>
    <w:p>
      <w:pPr>
        <w:pStyle w:val="7"/>
        <w:rPr>
          <w:rFonts w:hint="eastAsia"/>
          <w:lang w:eastAsia="zh-CN"/>
        </w:rPr>
      </w:pPr>
      <w:r>
        <w:t>《最高人民法院关于人民法院通过互联网公开审判流程信息的规定》已于2018年2月12日由最高人民法院审判委员会第1733次会议通过，现予公布，自2018年9月1日起施行。</w:t>
      </w:r>
    </w:p>
    <w:p>
      <w:pPr>
        <w:pStyle w:val="7"/>
      </w:pPr>
    </w:p>
    <w:p>
      <w:pPr>
        <w:pStyle w:val="7"/>
      </w:pPr>
    </w:p>
    <w:p>
      <w:pPr>
        <w:pStyle w:val="13"/>
      </w:pPr>
      <w:r>
        <w:t>2018年3月4日</w:t>
      </w:r>
    </w:p>
    <w:p>
      <w:pPr>
        <w:pStyle w:val="7"/>
        <w:sectPr>
          <w:footerReference r:id="rId3" w:type="default"/>
          <w:footerReference r:id="rId4" w:type="even"/>
          <w:pgSz w:w="11906" w:h="16838"/>
          <w:pgMar w:top="2098" w:right="1474" w:bottom="1984" w:left="1587" w:header="851" w:footer="1587" w:gutter="0"/>
          <w:pgNumType w:fmt="decimal" w:start="0"/>
          <w:cols w:space="720" w:num="1"/>
          <w:rtlGutter w:val="0"/>
          <w:docGrid w:type="lines" w:linePitch="312" w:charSpace="0"/>
        </w:sectPr>
      </w:pPr>
    </w:p>
    <w:p>
      <w:pPr>
        <w:pStyle w:val="7"/>
      </w:pPr>
    </w:p>
    <w:p>
      <w:pPr>
        <w:pStyle w:val="7"/>
      </w:pPr>
    </w:p>
    <w:p>
      <w:pPr>
        <w:pStyle w:val="10"/>
      </w:pPr>
      <w:r>
        <w:t>最高人民法院</w:t>
      </w:r>
    </w:p>
    <w:p>
      <w:pPr>
        <w:pStyle w:val="10"/>
      </w:pPr>
      <w:r>
        <w:t>关于人民法院通过互联网公开审判</w:t>
      </w:r>
    </w:p>
    <w:p>
      <w:pPr>
        <w:pStyle w:val="10"/>
      </w:pPr>
      <w:r>
        <w:t>流程信息的规定</w:t>
      </w:r>
    </w:p>
    <w:p>
      <w:pPr>
        <w:pStyle w:val="7"/>
      </w:pPr>
    </w:p>
    <w:p>
      <w:pPr>
        <w:pStyle w:val="19"/>
      </w:pPr>
      <w:r>
        <w:t>法释〔2018〕7号</w:t>
      </w:r>
    </w:p>
    <w:p>
      <w:pPr>
        <w:pStyle w:val="7"/>
      </w:pPr>
    </w:p>
    <w:p>
      <w:pPr>
        <w:pStyle w:val="12"/>
        <w:rPr>
          <w:rFonts w:hint="eastAsia" w:eastAsia="楷体_GB2312"/>
          <w:lang w:eastAsia="zh-CN"/>
        </w:rPr>
      </w:pPr>
      <w:r>
        <w:rPr>
          <w:rFonts w:hint="eastAsia"/>
          <w:lang w:eastAsia="zh-CN"/>
        </w:rPr>
        <w:t>（</w:t>
      </w:r>
      <w:r>
        <w:t>2018年2月12日最高人民法院审判委员会第1733次会议通过，自2018年9月1日起施行</w:t>
      </w:r>
      <w:r>
        <w:rPr>
          <w:rFonts w:hint="eastAsia"/>
          <w:lang w:eastAsia="zh-CN"/>
        </w:rPr>
        <w:t>）</w:t>
      </w:r>
    </w:p>
    <w:p>
      <w:pPr>
        <w:pStyle w:val="7"/>
      </w:pPr>
    </w:p>
    <w:p>
      <w:pPr>
        <w:pStyle w:val="7"/>
        <w:rPr>
          <w:rStyle w:val="25"/>
        </w:rPr>
      </w:pPr>
      <w:r>
        <w:t>为贯彻落实审判公开原则，保障当事人对审判活动的知情权，规范人民法院通过互联网公开审判流程信息工作，促进司法公正，提升司法公信，根据《中华人民共和国刑事诉讼法》《中华人民共和国民事诉讼法》《中华人民共和国行政诉讼法》《中华人民共和国国家赔偿法》等法律规定，结合人民法院工作实际，制定本规定。</w:t>
      </w:r>
    </w:p>
    <w:p>
      <w:pPr>
        <w:pStyle w:val="7"/>
      </w:pPr>
      <w:r>
        <w:rPr>
          <w:rStyle w:val="25"/>
        </w:rPr>
        <w:t>第一条</w:t>
      </w:r>
      <w:r>
        <w:t>　人民法院审判刑事、民事、行政、国家赔偿案件的流程信息，应当通过互联网向参加诉讼的当事人及其法定代理人、诉讼代理人、辩护人公开。</w:t>
      </w:r>
    </w:p>
    <w:p>
      <w:pPr>
        <w:pStyle w:val="7"/>
        <w:rPr>
          <w:rStyle w:val="25"/>
        </w:rPr>
      </w:pPr>
      <w:r>
        <w:t>人民法院审判具有重大社会影响案件的流程信息，可以通过互联网或者其他方式向公众公开。</w:t>
      </w:r>
    </w:p>
    <w:p>
      <w:pPr>
        <w:pStyle w:val="7"/>
        <w:rPr>
          <w:rStyle w:val="25"/>
        </w:rPr>
      </w:pPr>
      <w:r>
        <w:rPr>
          <w:rStyle w:val="25"/>
        </w:rPr>
        <w:t>第二条</w:t>
      </w:r>
      <w:r>
        <w:t>　人民法院通过互联网公开审判流程信息，应当依法、规范、及时、便民。</w:t>
      </w:r>
    </w:p>
    <w:p>
      <w:pPr>
        <w:pStyle w:val="7"/>
      </w:pPr>
      <w:r>
        <w:rPr>
          <w:rStyle w:val="25"/>
        </w:rPr>
        <w:t>第三条</w:t>
      </w:r>
      <w:r>
        <w:t>　中国审判流程信息公开网是人民法院公开审判流程信息的统一平台。各级人民法院在本院门户网站以及司法公开平台设置中国审判流程信息公开网的链接。</w:t>
      </w:r>
    </w:p>
    <w:p>
      <w:pPr>
        <w:pStyle w:val="7"/>
        <w:rPr>
          <w:rStyle w:val="25"/>
        </w:rPr>
      </w:pPr>
      <w:r>
        <w:t>有条件的人民法院可以通过手机、诉讼服务平台、电话语音系统、电子邮箱等辅助媒介，向当事人及其法定代理人、诉讼代理人、辩护人主动推送案件的审判流程信息，或者提供查询服务。</w:t>
      </w:r>
    </w:p>
    <w:p>
      <w:pPr>
        <w:pStyle w:val="7"/>
        <w:rPr>
          <w:rStyle w:val="25"/>
        </w:rPr>
      </w:pPr>
      <w:r>
        <w:rPr>
          <w:rStyle w:val="25"/>
        </w:rPr>
        <w:t>第四条</w:t>
      </w:r>
      <w:r>
        <w:t>　人民法院应当在受理案件通知书、应诉通知书、参加诉讼通知书、出庭通知书中，告知当事人及其法定代理人、诉讼代理人、辩护人通过互联网获取审判流程信息的方法和注意事项。</w:t>
      </w:r>
    </w:p>
    <w:p>
      <w:pPr>
        <w:pStyle w:val="7"/>
      </w:pPr>
      <w:r>
        <w:rPr>
          <w:rStyle w:val="25"/>
        </w:rPr>
        <w:t>第五条</w:t>
      </w:r>
      <w:r>
        <w:t>　当事人、法定代理人、诉讼代理人、辩护人的身份证件号码、律师执业证号、组织机构代码、统一社会信用代码，是其获取审判流程信息的身份验证依据。</w:t>
      </w:r>
    </w:p>
    <w:p>
      <w:pPr>
        <w:pStyle w:val="7"/>
        <w:rPr>
          <w:rStyle w:val="25"/>
        </w:rPr>
      </w:pPr>
      <w:r>
        <w:t>当事人及其法定代理人、诉讼代理人、辩护人应当配合受理案件的人民法院采集、核对身份信息，并预留有效的手机号码。</w:t>
      </w:r>
    </w:p>
    <w:p>
      <w:pPr>
        <w:pStyle w:val="7"/>
      </w:pPr>
      <w:r>
        <w:rPr>
          <w:rStyle w:val="25"/>
        </w:rPr>
        <w:t>第六条</w:t>
      </w:r>
      <w:r>
        <w:t>　人民法院通知当事人应诉、参加诉讼，准许当事人参加诉讼，或者采用公告方式送达当事人的，自完成其身份信息采集、核对后，依照本规定公开审判流程信息。</w:t>
      </w:r>
    </w:p>
    <w:p>
      <w:pPr>
        <w:pStyle w:val="7"/>
      </w:pPr>
      <w:r>
        <w:t>当事人中途退出诉讼的，经人民法院依法确认后，不再向该当事人及其法定代理人、诉讼代理人、辩护人公开审判流程信息。</w:t>
      </w:r>
    </w:p>
    <w:p>
      <w:pPr>
        <w:pStyle w:val="7"/>
        <w:rPr>
          <w:rStyle w:val="25"/>
        </w:rPr>
      </w:pPr>
      <w:r>
        <w:t>法定代理人、诉讼代理人、辩护人参加诉讼或者发生变更的，参照前两款规定处理。</w:t>
      </w:r>
    </w:p>
    <w:p>
      <w:pPr>
        <w:pStyle w:val="7"/>
      </w:pPr>
      <w:r>
        <w:rPr>
          <w:rStyle w:val="25"/>
        </w:rPr>
        <w:t>第七条</w:t>
      </w:r>
      <w:r>
        <w:t>　下列程序性信息应当通过互联网向当事人及其法定代理人、诉讼代理人、辩护人公开：</w:t>
      </w:r>
    </w:p>
    <w:p>
      <w:pPr>
        <w:pStyle w:val="7"/>
      </w:pPr>
      <w:r>
        <w:rPr>
          <w:rFonts w:hint="eastAsia"/>
          <w:lang w:eastAsia="zh-CN"/>
        </w:rPr>
        <w:t>（</w:t>
      </w:r>
      <w:r>
        <w:t>一</w:t>
      </w:r>
      <w:r>
        <w:rPr>
          <w:rFonts w:hint="eastAsia"/>
          <w:lang w:eastAsia="zh-CN"/>
        </w:rPr>
        <w:t>）</w:t>
      </w:r>
      <w:r>
        <w:t>收案、立案信息，结案信息；</w:t>
      </w:r>
    </w:p>
    <w:p>
      <w:pPr>
        <w:pStyle w:val="7"/>
      </w:pPr>
      <w:r>
        <w:rPr>
          <w:rFonts w:hint="eastAsia"/>
          <w:lang w:eastAsia="zh-CN"/>
        </w:rPr>
        <w:t>（</w:t>
      </w:r>
      <w:r>
        <w:t>二</w:t>
      </w:r>
      <w:r>
        <w:rPr>
          <w:rFonts w:hint="eastAsia"/>
          <w:lang w:eastAsia="zh-CN"/>
        </w:rPr>
        <w:t>）</w:t>
      </w:r>
      <w:r>
        <w:t>检察机关、刑罚执行机关信息，当事人信息；</w:t>
      </w:r>
    </w:p>
    <w:p>
      <w:pPr>
        <w:pStyle w:val="7"/>
      </w:pPr>
      <w:r>
        <w:rPr>
          <w:rFonts w:hint="eastAsia"/>
          <w:lang w:eastAsia="zh-CN"/>
        </w:rPr>
        <w:t>（</w:t>
      </w:r>
      <w:r>
        <w:t>三</w:t>
      </w:r>
      <w:r>
        <w:rPr>
          <w:rFonts w:hint="eastAsia"/>
          <w:lang w:eastAsia="zh-CN"/>
        </w:rPr>
        <w:t>）</w:t>
      </w:r>
      <w:r>
        <w:t>审判组织信息；</w:t>
      </w:r>
    </w:p>
    <w:p>
      <w:pPr>
        <w:pStyle w:val="7"/>
      </w:pPr>
      <w:r>
        <w:rPr>
          <w:rFonts w:hint="eastAsia"/>
          <w:lang w:eastAsia="zh-CN"/>
        </w:rPr>
        <w:t>（</w:t>
      </w:r>
      <w:r>
        <w:t>四</w:t>
      </w:r>
      <w:r>
        <w:rPr>
          <w:rFonts w:hint="eastAsia"/>
          <w:lang w:eastAsia="zh-CN"/>
        </w:rPr>
        <w:t>）</w:t>
      </w:r>
      <w:r>
        <w:t>审判程序、审理期限、送达、上诉、抗诉、移送等信息；</w:t>
      </w:r>
    </w:p>
    <w:p>
      <w:pPr>
        <w:pStyle w:val="7"/>
      </w:pPr>
      <w:r>
        <w:rPr>
          <w:rFonts w:hint="eastAsia"/>
          <w:lang w:eastAsia="zh-CN"/>
        </w:rPr>
        <w:t>（</w:t>
      </w:r>
      <w:r>
        <w:t>五</w:t>
      </w:r>
      <w:r>
        <w:rPr>
          <w:rFonts w:hint="eastAsia"/>
          <w:lang w:eastAsia="zh-CN"/>
        </w:rPr>
        <w:t>）</w:t>
      </w:r>
      <w:r>
        <w:t>庭审、质证、证据交换、庭前会议、询问、宣判等诉讼活动的时间和地点；</w:t>
      </w:r>
    </w:p>
    <w:p>
      <w:pPr>
        <w:pStyle w:val="7"/>
      </w:pPr>
      <w:r>
        <w:rPr>
          <w:rFonts w:hint="eastAsia"/>
          <w:lang w:eastAsia="zh-CN"/>
        </w:rPr>
        <w:t>（</w:t>
      </w:r>
      <w:r>
        <w:t>六</w:t>
      </w:r>
      <w:r>
        <w:rPr>
          <w:rFonts w:hint="eastAsia"/>
          <w:lang w:eastAsia="zh-CN"/>
        </w:rPr>
        <w:t>）</w:t>
      </w:r>
      <w:r>
        <w:t>裁判文书在中国裁判文书网的公布情况；</w:t>
      </w:r>
    </w:p>
    <w:p>
      <w:pPr>
        <w:pStyle w:val="7"/>
        <w:rPr>
          <w:rStyle w:val="25"/>
        </w:rPr>
      </w:pPr>
      <w:r>
        <w:rPr>
          <w:rFonts w:hint="eastAsia"/>
          <w:lang w:eastAsia="zh-CN"/>
        </w:rPr>
        <w:t>（</w:t>
      </w:r>
      <w:r>
        <w:t>七</w:t>
      </w:r>
      <w:r>
        <w:rPr>
          <w:rFonts w:hint="eastAsia"/>
          <w:lang w:eastAsia="zh-CN"/>
        </w:rPr>
        <w:t>）</w:t>
      </w:r>
      <w:r>
        <w:t>法律、司法解释规定应当公开，或者人民法院认为可以公开的其他程序性信息。</w:t>
      </w:r>
    </w:p>
    <w:p>
      <w:pPr>
        <w:pStyle w:val="7"/>
      </w:pPr>
      <w:r>
        <w:rPr>
          <w:rStyle w:val="25"/>
        </w:rPr>
        <w:t>第八条</w:t>
      </w:r>
      <w:r>
        <w:t>　回避、管辖争议、保全、先予执行、评估、鉴定等流程信息，应当通过互联网向当事人及其法定代理人、诉讼代理人、辩护人公开。</w:t>
      </w:r>
    </w:p>
    <w:p>
      <w:pPr>
        <w:pStyle w:val="7"/>
        <w:rPr>
          <w:rStyle w:val="25"/>
        </w:rPr>
      </w:pPr>
      <w:r>
        <w:t>公开保全、先予执行等流程信息可能影响事项处理的，可以在事项处理完毕后公开。</w:t>
      </w:r>
    </w:p>
    <w:p>
      <w:pPr>
        <w:pStyle w:val="7"/>
      </w:pPr>
      <w:r>
        <w:rPr>
          <w:rStyle w:val="25"/>
        </w:rPr>
        <w:t>第九条</w:t>
      </w:r>
      <w:r>
        <w:t>　下列诉讼文书应当于送达后通过互联网向当事人及其法定代理人、诉讼代理人、辩护人公开：</w:t>
      </w:r>
    </w:p>
    <w:p>
      <w:pPr>
        <w:pStyle w:val="7"/>
      </w:pPr>
      <w:r>
        <w:rPr>
          <w:rFonts w:hint="eastAsia"/>
          <w:lang w:eastAsia="zh-CN"/>
        </w:rPr>
        <w:t>（</w:t>
      </w:r>
      <w:r>
        <w:t>一</w:t>
      </w:r>
      <w:r>
        <w:rPr>
          <w:rFonts w:hint="eastAsia"/>
          <w:lang w:eastAsia="zh-CN"/>
        </w:rPr>
        <w:t>）</w:t>
      </w:r>
      <w:r>
        <w:t>起诉状、上诉状、再审申请书、申诉书、国家赔偿申请书、答辩状等诉讼文书；</w:t>
      </w:r>
    </w:p>
    <w:p>
      <w:pPr>
        <w:pStyle w:val="7"/>
      </w:pPr>
      <w:r>
        <w:rPr>
          <w:rFonts w:hint="eastAsia"/>
          <w:lang w:eastAsia="zh-CN"/>
        </w:rPr>
        <w:t>（</w:t>
      </w:r>
      <w:r>
        <w:t>二</w:t>
      </w:r>
      <w:r>
        <w:rPr>
          <w:rFonts w:hint="eastAsia"/>
          <w:lang w:eastAsia="zh-CN"/>
        </w:rPr>
        <w:t>）</w:t>
      </w:r>
      <w:r>
        <w:t>受理案件通知书、应诉通知书、参加诉讼通知书、出庭通知书、合议庭组成人员通知书、传票等诉讼文书；</w:t>
      </w:r>
    </w:p>
    <w:p>
      <w:pPr>
        <w:pStyle w:val="7"/>
      </w:pPr>
      <w:r>
        <w:rPr>
          <w:rFonts w:hint="eastAsia"/>
          <w:lang w:eastAsia="zh-CN"/>
        </w:rPr>
        <w:t>（</w:t>
      </w:r>
      <w:r>
        <w:t>三</w:t>
      </w:r>
      <w:r>
        <w:rPr>
          <w:rFonts w:hint="eastAsia"/>
          <w:lang w:eastAsia="zh-CN"/>
        </w:rPr>
        <w:t>）</w:t>
      </w:r>
      <w:r>
        <w:t>判决书、裁定书、决定书、调解书，以及其他有中止、终结诉讼程序作用，或者对当事人实体权利有影响、对当事人程序权利有重大影响的裁判文书；</w:t>
      </w:r>
    </w:p>
    <w:p>
      <w:pPr>
        <w:pStyle w:val="7"/>
        <w:rPr>
          <w:rStyle w:val="25"/>
        </w:rPr>
      </w:pPr>
      <w:r>
        <w:rPr>
          <w:rFonts w:hint="eastAsia"/>
          <w:lang w:eastAsia="zh-CN"/>
        </w:rPr>
        <w:t>（</w:t>
      </w:r>
      <w:r>
        <w:t>四</w:t>
      </w:r>
      <w:r>
        <w:rPr>
          <w:rFonts w:hint="eastAsia"/>
          <w:lang w:eastAsia="zh-CN"/>
        </w:rPr>
        <w:t>）</w:t>
      </w:r>
      <w:r>
        <w:t>法律、司法解释规定应当公开，或者人民法院认为可以公开的其他诉讼文书。</w:t>
      </w:r>
    </w:p>
    <w:p>
      <w:pPr>
        <w:pStyle w:val="7"/>
        <w:rPr>
          <w:rStyle w:val="25"/>
        </w:rPr>
      </w:pPr>
      <w:r>
        <w:rPr>
          <w:rStyle w:val="25"/>
        </w:rPr>
        <w:t>第十条</w:t>
      </w:r>
      <w:r>
        <w:t>　庭审、质证、证据交换、庭前会议、调查取证、勘验、询问、宣判等诉讼活动的笔录，应当通过互联网向当事人及其法定代理人、诉讼代理人、辩护人公开。</w:t>
      </w:r>
    </w:p>
    <w:p>
      <w:pPr>
        <w:pStyle w:val="7"/>
        <w:rPr>
          <w:rStyle w:val="25"/>
        </w:rPr>
      </w:pPr>
      <w:r>
        <w:rPr>
          <w:rStyle w:val="25"/>
        </w:rPr>
        <w:t>第十一条</w:t>
      </w:r>
      <w:r>
        <w:t>　当事人及其法定代理人、诉讼代理人、辩护人申请查阅庭审录音录像、电子卷宗的，人民法院可以通过中国审判流程信息公开网或者其他诉讼服务平台提供查阅，并设置必要的安全保护措施。</w:t>
      </w:r>
    </w:p>
    <w:p>
      <w:pPr>
        <w:pStyle w:val="7"/>
        <w:rPr>
          <w:rStyle w:val="25"/>
        </w:rPr>
      </w:pPr>
      <w:r>
        <w:rPr>
          <w:rStyle w:val="25"/>
        </w:rPr>
        <w:t>第十二条</w:t>
      </w:r>
      <w:r>
        <w:t>　涉及国家秘密，以及法律、司法解释规定应当保密或者限制获取的审判流程信息，不得通过互联网向当事人及其法定代理人、诉讼代理人、辩护人公开。</w:t>
      </w:r>
    </w:p>
    <w:p>
      <w:pPr>
        <w:pStyle w:val="7"/>
      </w:pPr>
      <w:r>
        <w:rPr>
          <w:rStyle w:val="25"/>
        </w:rPr>
        <w:t>第十三条</w:t>
      </w:r>
      <w:r>
        <w:t>　已经公开的审判流程信息与实际情况不一致的，以实际情况为准，受理案件的人民法院应当及时更正。</w:t>
      </w:r>
    </w:p>
    <w:p>
      <w:pPr>
        <w:pStyle w:val="7"/>
        <w:rPr>
          <w:rStyle w:val="25"/>
        </w:rPr>
      </w:pPr>
      <w:r>
        <w:t>已经公开的审判流程信息存在本规定第十二条列明情形的，受理案件的人民法院应当及时撤回。</w:t>
      </w:r>
    </w:p>
    <w:p>
      <w:pPr>
        <w:pStyle w:val="7"/>
      </w:pPr>
      <w:r>
        <w:rPr>
          <w:rStyle w:val="25"/>
        </w:rPr>
        <w:t>第十四条</w:t>
      </w:r>
      <w:r>
        <w:t>　经受送达人书面同意，人民法院可以通过中国审判流程信息公开网向民事、行政案件的当事人及其法定代理人、诉讼代理人电子送达除判决书、裁定书、调解书以外的诉讼文书。</w:t>
      </w:r>
    </w:p>
    <w:p>
      <w:pPr>
        <w:pStyle w:val="7"/>
      </w:pPr>
      <w:r>
        <w:t>采用前款方式送达的，人民法院应当按照本规定第五条采集、核对受送达人的身份信息，并为其开设个人专用的即时收悉系统。诉讼文书到达该系统的日期为送达日期，由系统自动记录并生成送达回证归入电子卷宗。</w:t>
      </w:r>
    </w:p>
    <w:p>
      <w:pPr>
        <w:pStyle w:val="7"/>
        <w:rPr>
          <w:rStyle w:val="25"/>
        </w:rPr>
      </w:pPr>
      <w:r>
        <w:t>已经送达的诉讼文书需要更正的，应当重新送达。</w:t>
      </w:r>
    </w:p>
    <w:p>
      <w:pPr>
        <w:pStyle w:val="7"/>
      </w:pPr>
      <w:r>
        <w:rPr>
          <w:rStyle w:val="25"/>
        </w:rPr>
        <w:t>第十五条</w:t>
      </w:r>
      <w:r>
        <w:t>　最高人民法院监督指导全国法院审判流程信息公开工作。高级、中级人民法院监督指导辖区法院审判流程信息公开工作。</w:t>
      </w:r>
    </w:p>
    <w:p>
      <w:pPr>
        <w:pStyle w:val="7"/>
      </w:pPr>
      <w:r>
        <w:t>各级人民法院审判管理办公室或者承担审判管理职能的其他机构负责本院审判流程信息公开工作，履行以下职责：</w:t>
      </w:r>
    </w:p>
    <w:p>
      <w:pPr>
        <w:pStyle w:val="7"/>
      </w:pPr>
      <w:r>
        <w:rPr>
          <w:rFonts w:hint="eastAsia"/>
          <w:lang w:eastAsia="zh-CN"/>
        </w:rPr>
        <w:t>（</w:t>
      </w:r>
      <w:r>
        <w:t>一</w:t>
      </w:r>
      <w:r>
        <w:rPr>
          <w:rFonts w:hint="eastAsia"/>
          <w:lang w:eastAsia="zh-CN"/>
        </w:rPr>
        <w:t>）</w:t>
      </w:r>
      <w:r>
        <w:t>组织、监督审判流程信息公开工作；</w:t>
      </w:r>
    </w:p>
    <w:p>
      <w:pPr>
        <w:pStyle w:val="7"/>
      </w:pPr>
      <w:r>
        <w:rPr>
          <w:rFonts w:hint="eastAsia"/>
          <w:lang w:eastAsia="zh-CN"/>
        </w:rPr>
        <w:t>（</w:t>
      </w:r>
      <w:r>
        <w:t>二</w:t>
      </w:r>
      <w:r>
        <w:rPr>
          <w:rFonts w:hint="eastAsia"/>
          <w:lang w:eastAsia="zh-CN"/>
        </w:rPr>
        <w:t>）</w:t>
      </w:r>
      <w:r>
        <w:t>处理当事人及其法定代理人、诉讼代理人、辩护人对审判流程信息公开工作的投诉和意见建议；</w:t>
      </w:r>
    </w:p>
    <w:p>
      <w:pPr>
        <w:pStyle w:val="7"/>
      </w:pPr>
      <w:r>
        <w:rPr>
          <w:rFonts w:hint="eastAsia"/>
          <w:lang w:eastAsia="zh-CN"/>
        </w:rPr>
        <w:t>（</w:t>
      </w:r>
      <w:r>
        <w:t>三</w:t>
      </w:r>
      <w:r>
        <w:rPr>
          <w:rFonts w:hint="eastAsia"/>
          <w:lang w:eastAsia="zh-CN"/>
        </w:rPr>
        <w:t>）</w:t>
      </w:r>
      <w:r>
        <w:t>指导技术部门做好技术支持和服务保障；</w:t>
      </w:r>
    </w:p>
    <w:p>
      <w:pPr>
        <w:pStyle w:val="7"/>
        <w:rPr>
          <w:rStyle w:val="25"/>
        </w:rPr>
      </w:pPr>
      <w:r>
        <w:rPr>
          <w:rFonts w:hint="eastAsia"/>
          <w:lang w:eastAsia="zh-CN"/>
        </w:rPr>
        <w:t>（</w:t>
      </w:r>
      <w:r>
        <w:t>四</w:t>
      </w:r>
      <w:r>
        <w:rPr>
          <w:rFonts w:hint="eastAsia"/>
          <w:lang w:eastAsia="zh-CN"/>
        </w:rPr>
        <w:t>）</w:t>
      </w:r>
      <w:r>
        <w:t>其他管理工作。</w:t>
      </w:r>
    </w:p>
    <w:p>
      <w:pPr>
        <w:pStyle w:val="7"/>
        <w:rPr>
          <w:rStyle w:val="25"/>
        </w:rPr>
      </w:pPr>
      <w:r>
        <w:rPr>
          <w:rStyle w:val="25"/>
        </w:rPr>
        <w:t>第十六条</w:t>
      </w:r>
      <w:r>
        <w:t>　公开审判流程信息的业务规范和技术标准，由最高人民法院另行制定。</w:t>
      </w:r>
    </w:p>
    <w:p>
      <w:pPr>
        <w:pStyle w:val="7"/>
        <w:rPr>
          <w:rFonts w:hint="eastAsia"/>
          <w:lang w:eastAsia="zh-CN"/>
        </w:rPr>
      </w:pPr>
      <w:r>
        <w:rPr>
          <w:rStyle w:val="25"/>
        </w:rPr>
        <w:t>第十七条</w:t>
      </w:r>
      <w:r>
        <w:t>　本规定自2018年9月1日起施行。最高人民法院以前发布的司法解释和规范性文件与本规定不一致的，以本规定为准。</w:t>
      </w:r>
    </w:p>
    <w:p>
      <w:pPr>
        <w:rPr>
          <w:rFonts w:hint="eastAsia"/>
        </w:rPr>
      </w:pPr>
      <w:bookmarkStart w:id="0" w:name="_GoBack"/>
      <w:bookmarkEnd w:id="0"/>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aePyQxoCAAAhBAAADgAA&#10;AAAAAAABACAAAAAfAQAAZHJzL2Uyb0RvYy54bWxQSwUGAAAAAAYABgBZAQAAqw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A4bVggbAgAAIQQAAA4A&#10;AAAAAAAAAQAgAAAAHwEAAGRycy9lMm9Eb2MueG1sUEsFBgAAAAAGAAYAWQEAAKw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080"/>
    <w:rsid w:val="00323D76"/>
    <w:rsid w:val="004F0080"/>
    <w:rsid w:val="0072125E"/>
    <w:rsid w:val="02380A4E"/>
    <w:rsid w:val="02C54CFB"/>
    <w:rsid w:val="042F174E"/>
    <w:rsid w:val="0751543E"/>
    <w:rsid w:val="0BE369DE"/>
    <w:rsid w:val="0EB807F6"/>
    <w:rsid w:val="0F9D48A9"/>
    <w:rsid w:val="0FC66F39"/>
    <w:rsid w:val="135B4974"/>
    <w:rsid w:val="17491A3E"/>
    <w:rsid w:val="19EF53F7"/>
    <w:rsid w:val="1C547AC8"/>
    <w:rsid w:val="20194FCD"/>
    <w:rsid w:val="211007F7"/>
    <w:rsid w:val="224D5C1E"/>
    <w:rsid w:val="28B53323"/>
    <w:rsid w:val="2A483D38"/>
    <w:rsid w:val="2A844039"/>
    <w:rsid w:val="2CFE6EE4"/>
    <w:rsid w:val="2D725F92"/>
    <w:rsid w:val="300F227C"/>
    <w:rsid w:val="302E782D"/>
    <w:rsid w:val="325C564C"/>
    <w:rsid w:val="36AE6775"/>
    <w:rsid w:val="38787F7C"/>
    <w:rsid w:val="39191BFA"/>
    <w:rsid w:val="3C5C08F2"/>
    <w:rsid w:val="3D717517"/>
    <w:rsid w:val="3FBC61B7"/>
    <w:rsid w:val="4AEF215E"/>
    <w:rsid w:val="4DA15956"/>
    <w:rsid w:val="4E7D2A86"/>
    <w:rsid w:val="501B3EB2"/>
    <w:rsid w:val="5027117E"/>
    <w:rsid w:val="56C00D65"/>
    <w:rsid w:val="65586BE5"/>
    <w:rsid w:val="66953540"/>
    <w:rsid w:val="6D800228"/>
    <w:rsid w:val="6DAD6BF0"/>
    <w:rsid w:val="6E1B4105"/>
    <w:rsid w:val="6EB66F23"/>
    <w:rsid w:val="75FA67F7"/>
    <w:rsid w:val="7FA349B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章"/>
    <w:basedOn w:val="1"/>
    <w:qFormat/>
    <w:uiPriority w:val="0"/>
    <w:pPr>
      <w:spacing w:line="560" w:lineRule="exact"/>
      <w:jc w:val="center"/>
    </w:pPr>
    <w:rPr>
      <w:rFonts w:ascii="黑体" w:hAnsi="黑体" w:eastAsia="黑体" w:cs="黑体"/>
      <w:sz w:val="32"/>
      <w:szCs w:val="32"/>
    </w:rPr>
  </w:style>
  <w:style w:type="paragraph" w:customStyle="1" w:styleId="7">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8">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9">
    <w:name w:val="表字居中"/>
    <w:basedOn w:val="1"/>
    <w:qFormat/>
    <w:uiPriority w:val="0"/>
    <w:pPr>
      <w:spacing w:line="560" w:lineRule="exact"/>
      <w:jc w:val="center"/>
    </w:pPr>
    <w:rPr>
      <w:rFonts w:ascii="宋体" w:hAnsi="宋体" w:cs="宋体"/>
      <w:szCs w:val="21"/>
    </w:rPr>
  </w:style>
  <w:style w:type="paragraph" w:customStyle="1" w:styleId="10">
    <w:name w:val="标题名"/>
    <w:basedOn w:val="1"/>
    <w:uiPriority w:val="0"/>
    <w:pPr>
      <w:spacing w:line="560" w:lineRule="exact"/>
      <w:jc w:val="center"/>
    </w:pPr>
    <w:rPr>
      <w:rFonts w:hint="eastAsia" w:ascii="宋体" w:hAnsi="宋体" w:cs="宋体"/>
      <w:sz w:val="44"/>
      <w:szCs w:val="44"/>
    </w:rPr>
  </w:style>
  <w:style w:type="paragraph" w:customStyle="1" w:styleId="11">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12">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3">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附/附件"/>
    <w:basedOn w:val="1"/>
    <w:qFormat/>
    <w:uiPriority w:val="0"/>
    <w:pPr>
      <w:spacing w:line="560" w:lineRule="exact"/>
      <w:jc w:val="left"/>
    </w:pPr>
    <w:rPr>
      <w:rFonts w:ascii="黑体" w:hAnsi="黑体" w:eastAsia="黑体" w:cs="黑体"/>
      <w:sz w:val="32"/>
      <w:szCs w:val="32"/>
    </w:rPr>
  </w:style>
  <w:style w:type="paragraph" w:customStyle="1" w:styleId="16">
    <w:name w:val="表字"/>
    <w:basedOn w:val="1"/>
    <w:qFormat/>
    <w:uiPriority w:val="0"/>
    <w:pPr>
      <w:spacing w:line="560" w:lineRule="exact"/>
      <w:jc w:val="left"/>
    </w:pPr>
    <w:rPr>
      <w:rFonts w:ascii="宋体" w:hAnsi="宋体" w:cs="宋体"/>
      <w:szCs w:val="21"/>
    </w:rPr>
  </w:style>
  <w:style w:type="paragraph" w:customStyle="1" w:styleId="17">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表头"/>
    <w:basedOn w:val="1"/>
    <w:qFormat/>
    <w:uiPriority w:val="0"/>
    <w:pPr>
      <w:spacing w:line="560" w:lineRule="exact"/>
      <w:jc w:val="center"/>
    </w:pPr>
    <w:rPr>
      <w:rFonts w:ascii="黑体" w:hAnsi="黑体" w:eastAsia="黑体" w:cs="黑体"/>
      <w:sz w:val="21"/>
      <w:szCs w:val="21"/>
    </w:rPr>
  </w:style>
  <w:style w:type="paragraph" w:customStyle="1" w:styleId="21">
    <w:name w:val="节"/>
    <w:basedOn w:val="1"/>
    <w:qFormat/>
    <w:uiPriority w:val="0"/>
    <w:pPr>
      <w:spacing w:line="560" w:lineRule="exact"/>
      <w:jc w:val="center"/>
    </w:pPr>
    <w:rPr>
      <w:rFonts w:ascii="宋体" w:hAnsi="宋体" w:cs="宋体"/>
      <w:sz w:val="32"/>
      <w:szCs w:val="32"/>
    </w:rPr>
  </w:style>
  <w:style w:type="paragraph" w:customStyle="1" w:styleId="22">
    <w:name w:val="抬头"/>
    <w:basedOn w:val="7"/>
    <w:qFormat/>
    <w:uiPriority w:val="0"/>
    <w:pPr>
      <w:ind w:firstLine="0" w:firstLineChars="0"/>
      <w:jc w:val="left"/>
    </w:pPr>
  </w:style>
  <w:style w:type="paragraph" w:customStyle="1" w:styleId="23">
    <w:name w:val="日期文号"/>
    <w:basedOn w:val="7"/>
    <w:qFormat/>
    <w:uiPriority w:val="0"/>
    <w:pPr>
      <w:ind w:right="1260" w:rightChars="600" w:firstLine="0" w:firstLineChars="0"/>
      <w:jc w:val="right"/>
    </w:pPr>
    <w:rPr>
      <w:rFonts w:ascii="楷体_GB2312" w:hAnsi="楷体_GB2312" w:eastAsia="楷体_GB2312" w:cs="楷体_GB2312"/>
    </w:rPr>
  </w:style>
  <w:style w:type="paragraph" w:customStyle="1" w:styleId="24">
    <w:name w:val="附件1"/>
    <w:basedOn w:val="1"/>
    <w:qFormat/>
    <w:uiPriority w:val="0"/>
    <w:pPr>
      <w:spacing w:line="560" w:lineRule="exact"/>
      <w:jc w:val="left"/>
    </w:pPr>
    <w:rPr>
      <w:rFonts w:ascii="仿宋_GB2312" w:hAnsi="仿宋_GB2312" w:eastAsia="仿宋_GB2312" w:cs="仿宋_GB2312"/>
      <w:sz w:val="32"/>
      <w:szCs w:val="32"/>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0851;&#20110;&#36866;&#29992;&#12298;&#20013;&#21326;&#20154;&#27665;&#20849;&#21644;&#22269;&#20210;&#35009;&#27861;&#12299;&#33509;&#24178;&#38382;&#39064;&#30340;&#35299;&#37322;.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关于适用《中华人民共和国仲裁法》若干问题的解释.wpt</Template>
  <Pages>1</Pages>
  <Words>0</Words>
  <Characters>0</Characters>
  <Lines>0</Lines>
  <Paragraphs>0</Paragraphs>
  <TotalTime>0</TotalTime>
  <ScaleCrop>false</ScaleCrop>
  <LinksUpToDate>false</LinksUpToDate>
  <CharactersWithSpaces>0</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2018-12-27T10:05:00Z</dcterms:created>
  <dc:creator> 麦莫瑞文化传播有限公司</dc:creator>
  <cp:lastModifiedBy> 麦莫瑞文化传播有限公司</cp:lastModifiedBy>
  <dcterms:modified xsi:type="dcterms:W3CDTF">2018-12-27T10:42:51Z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