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649" w:rsidRDefault="00000649">
      <w:pPr>
        <w:pStyle w:val="a6"/>
      </w:pPr>
    </w:p>
    <w:p w:rsidR="00000649" w:rsidRDefault="00000649">
      <w:pPr>
        <w:pStyle w:val="a6"/>
      </w:pPr>
    </w:p>
    <w:p w:rsidR="00000649" w:rsidRDefault="00A065D9">
      <w:pPr>
        <w:pStyle w:val="a9"/>
        <w:rPr>
          <w:rFonts w:hint="default"/>
        </w:rPr>
      </w:pPr>
      <w:r>
        <w:t>中华人民共和国最高人民法院</w:t>
      </w:r>
    </w:p>
    <w:p w:rsidR="00000649" w:rsidRDefault="00A065D9">
      <w:pPr>
        <w:pStyle w:val="a9"/>
        <w:rPr>
          <w:rFonts w:hint="default"/>
        </w:rPr>
      </w:pPr>
      <w:r>
        <w:t>公</w:t>
      </w:r>
      <w:r>
        <w:t xml:space="preserve">    </w:t>
      </w:r>
      <w:r>
        <w:t>告</w:t>
      </w:r>
    </w:p>
    <w:p w:rsidR="00000649" w:rsidRDefault="00000649">
      <w:pPr>
        <w:pStyle w:val="a6"/>
      </w:pPr>
    </w:p>
    <w:p w:rsidR="00000649" w:rsidRDefault="00A065D9">
      <w:pPr>
        <w:pStyle w:val="a6"/>
      </w:pPr>
      <w:r>
        <w:t>《最高人民法院关于人民法院确定财产处置参考价若干问题的规定》已于</w:t>
      </w:r>
      <w:r>
        <w:t>2018</w:t>
      </w:r>
      <w:r>
        <w:t>年</w:t>
      </w:r>
      <w:r>
        <w:t>6</w:t>
      </w:r>
      <w:r>
        <w:t>月</w:t>
      </w:r>
      <w:r>
        <w:t>4</w:t>
      </w:r>
      <w:r>
        <w:t>日由最高人民法院审判委员会第</w:t>
      </w:r>
      <w:r>
        <w:t>1741</w:t>
      </w:r>
      <w:r>
        <w:t>次会议通过，现予公布，自</w:t>
      </w:r>
      <w:r>
        <w:t>2018</w:t>
      </w:r>
      <w:r>
        <w:t>年</w:t>
      </w:r>
      <w:r>
        <w:t>9</w:t>
      </w:r>
      <w:r>
        <w:t>月</w:t>
      </w:r>
      <w:r>
        <w:t>1</w:t>
      </w:r>
      <w:r>
        <w:t>日起施行。</w:t>
      </w:r>
    </w:p>
    <w:p w:rsidR="00000649" w:rsidRDefault="00000649">
      <w:pPr>
        <w:pStyle w:val="a6"/>
      </w:pPr>
    </w:p>
    <w:p w:rsidR="00000649" w:rsidRDefault="00000649">
      <w:pPr>
        <w:pStyle w:val="a6"/>
      </w:pPr>
    </w:p>
    <w:p w:rsidR="00000649" w:rsidRDefault="00A065D9">
      <w:pPr>
        <w:pStyle w:val="ac"/>
      </w:pPr>
      <w:r>
        <w:t>2018</w:t>
      </w:r>
      <w:r>
        <w:t>年</w:t>
      </w:r>
      <w:r>
        <w:t>8</w:t>
      </w:r>
      <w:r>
        <w:t>月</w:t>
      </w:r>
      <w:r>
        <w:t>28</w:t>
      </w:r>
      <w:r>
        <w:t>日</w:t>
      </w:r>
    </w:p>
    <w:p w:rsidR="00000649" w:rsidRDefault="00000649">
      <w:pPr>
        <w:pStyle w:val="a6"/>
        <w:sectPr w:rsidR="00000649">
          <w:footerReference w:type="even" r:id="rId7"/>
          <w:footerReference w:type="default" r:id="rId8"/>
          <w:pgSz w:w="11906" w:h="16838"/>
          <w:pgMar w:top="2098" w:right="1474" w:bottom="1984" w:left="1587" w:header="851" w:footer="1587" w:gutter="0"/>
          <w:pgNumType w:start="0"/>
          <w:cols w:space="720"/>
          <w:docGrid w:type="lines" w:linePitch="312"/>
        </w:sectPr>
      </w:pPr>
    </w:p>
    <w:p w:rsidR="00000649" w:rsidRDefault="00000649">
      <w:pPr>
        <w:pStyle w:val="a6"/>
      </w:pPr>
    </w:p>
    <w:p w:rsidR="00000649" w:rsidRDefault="00000649">
      <w:pPr>
        <w:pStyle w:val="a6"/>
      </w:pPr>
    </w:p>
    <w:p w:rsidR="00000649" w:rsidRDefault="00A065D9">
      <w:pPr>
        <w:pStyle w:val="a9"/>
        <w:rPr>
          <w:rFonts w:hint="default"/>
        </w:rPr>
      </w:pPr>
      <w:r>
        <w:t>最高人民法院</w:t>
      </w:r>
    </w:p>
    <w:p w:rsidR="00000649" w:rsidRDefault="00A065D9">
      <w:pPr>
        <w:pStyle w:val="a9"/>
        <w:rPr>
          <w:rFonts w:hint="default"/>
        </w:rPr>
      </w:pPr>
      <w:r>
        <w:t>关于人民法院确定财产处置参考价</w:t>
      </w:r>
    </w:p>
    <w:p w:rsidR="00000649" w:rsidRDefault="00A065D9">
      <w:pPr>
        <w:pStyle w:val="a9"/>
        <w:rPr>
          <w:rFonts w:hint="default"/>
        </w:rPr>
      </w:pPr>
      <w:r>
        <w:t>若干问题的规定</w:t>
      </w:r>
    </w:p>
    <w:p w:rsidR="00000649" w:rsidRDefault="00000649">
      <w:pPr>
        <w:pStyle w:val="a6"/>
      </w:pPr>
    </w:p>
    <w:p w:rsidR="00000649" w:rsidRDefault="00A065D9">
      <w:pPr>
        <w:pStyle w:val="af2"/>
      </w:pPr>
      <w:r>
        <w:t>法释〔</w:t>
      </w:r>
      <w:r>
        <w:t>2018</w:t>
      </w:r>
      <w:r>
        <w:t>〕</w:t>
      </w:r>
      <w:r>
        <w:t>15</w:t>
      </w:r>
      <w:r>
        <w:t>号</w:t>
      </w:r>
    </w:p>
    <w:p w:rsidR="00000649" w:rsidRDefault="00000649">
      <w:pPr>
        <w:pStyle w:val="a6"/>
      </w:pPr>
    </w:p>
    <w:p w:rsidR="00000649" w:rsidRDefault="00A065D9">
      <w:pPr>
        <w:pStyle w:val="ab"/>
      </w:pPr>
      <w:r>
        <w:rPr>
          <w:rFonts w:hint="eastAsia"/>
        </w:rPr>
        <w:t>（</w:t>
      </w:r>
      <w:r>
        <w:t>2018</w:t>
      </w:r>
      <w:r>
        <w:t>年</w:t>
      </w:r>
      <w:r>
        <w:t>6</w:t>
      </w:r>
      <w:r>
        <w:t>月</w:t>
      </w:r>
      <w:r>
        <w:t>4</w:t>
      </w:r>
      <w:r>
        <w:t>日最高人民法院审判委员会第</w:t>
      </w:r>
      <w:r>
        <w:t>1741</w:t>
      </w:r>
      <w:r>
        <w:t>次会议通过，自</w:t>
      </w:r>
      <w:r>
        <w:t>2018</w:t>
      </w:r>
      <w:r>
        <w:t>年</w:t>
      </w:r>
      <w:r>
        <w:t>9</w:t>
      </w:r>
      <w:r>
        <w:t>月</w:t>
      </w:r>
      <w:r>
        <w:t>1</w:t>
      </w:r>
      <w:r>
        <w:t>日起施行</w:t>
      </w:r>
      <w:r>
        <w:rPr>
          <w:rFonts w:hint="eastAsia"/>
        </w:rPr>
        <w:t>）</w:t>
      </w:r>
    </w:p>
    <w:p w:rsidR="00000649" w:rsidRDefault="00000649">
      <w:pPr>
        <w:pStyle w:val="a6"/>
      </w:pPr>
    </w:p>
    <w:p w:rsidR="00000649" w:rsidRDefault="00A065D9">
      <w:pPr>
        <w:pStyle w:val="a6"/>
        <w:rPr>
          <w:rStyle w:val="af7"/>
        </w:rPr>
      </w:pPr>
      <w:r>
        <w:t>为公平、公正、高效确定财产处置参考价，维护当事人、利害关系人的合法权益，根据《中华人民共和国民事诉讼法》等法律规定，结合人民法院工作实际，制定本规定。</w:t>
      </w:r>
    </w:p>
    <w:p w:rsidR="00000649" w:rsidRDefault="00A065D9">
      <w:pPr>
        <w:pStyle w:val="a6"/>
        <w:rPr>
          <w:rStyle w:val="af7"/>
        </w:rPr>
      </w:pPr>
      <w:r>
        <w:rPr>
          <w:rStyle w:val="af7"/>
        </w:rPr>
        <w:t>第一条</w:t>
      </w:r>
      <w:r>
        <w:t xml:space="preserve">　人民法院查封、扣押、冻结财产后，对需要拍卖、变卖的财产，应当在三十日内启动确定财产处置参考价程序。</w:t>
      </w:r>
    </w:p>
    <w:p w:rsidR="00000649" w:rsidRDefault="00A065D9">
      <w:pPr>
        <w:pStyle w:val="a6"/>
        <w:rPr>
          <w:rStyle w:val="af7"/>
        </w:rPr>
      </w:pPr>
      <w:r>
        <w:rPr>
          <w:rStyle w:val="af7"/>
        </w:rPr>
        <w:t>第二条</w:t>
      </w:r>
      <w:r>
        <w:t xml:space="preserve">　人民法院确定财产处置参考价，可以采取当事人议价、定向询价、网络询价、委托评估等方式。</w:t>
      </w:r>
    </w:p>
    <w:p w:rsidR="00000649" w:rsidRDefault="00A065D9">
      <w:pPr>
        <w:pStyle w:val="a6"/>
      </w:pPr>
      <w:r>
        <w:rPr>
          <w:rStyle w:val="af7"/>
        </w:rPr>
        <w:t>第三条</w:t>
      </w:r>
      <w:r>
        <w:t xml:space="preserve">　人民法院确定参考价前，应当查</w:t>
      </w:r>
      <w:r>
        <w:t>明财产的权属、权利负担、占有使用、欠缴税费、质量瑕疵等事项。</w:t>
      </w:r>
    </w:p>
    <w:p w:rsidR="00000649" w:rsidRDefault="00A065D9">
      <w:pPr>
        <w:pStyle w:val="a6"/>
      </w:pPr>
      <w:r>
        <w:t>人民法院查明前款规定事项需要当事人、有关单位或者个人提供相关资料的，可以通知其提交；拒不提交的，可以强制提取；</w:t>
      </w:r>
      <w:r>
        <w:lastRenderedPageBreak/>
        <w:t>对妨碍强制提取的，参照民事诉讼法第一百一十一条、第一百一十四条的规定处理。</w:t>
      </w:r>
    </w:p>
    <w:p w:rsidR="00000649" w:rsidRDefault="00A065D9">
      <w:pPr>
        <w:pStyle w:val="a6"/>
        <w:rPr>
          <w:rStyle w:val="af7"/>
        </w:rPr>
      </w:pPr>
      <w:r>
        <w:t>查明本条第一款规定事项需要审计、鉴定的，人民法院可以先行审计、鉴定。</w:t>
      </w:r>
    </w:p>
    <w:p w:rsidR="00000649" w:rsidRDefault="00A065D9">
      <w:pPr>
        <w:pStyle w:val="a6"/>
      </w:pPr>
      <w:r>
        <w:rPr>
          <w:rStyle w:val="af7"/>
        </w:rPr>
        <w:t>第四条</w:t>
      </w:r>
      <w:r>
        <w:t xml:space="preserve">　采取当事人议价方式确定参考价的，除一方当事人拒绝议价或者下落不明外，人民法院应当以适当的方式通知或者组织当事人进行协商，当事人应当在指定期限内提交议价结果。</w:t>
      </w:r>
    </w:p>
    <w:p w:rsidR="00000649" w:rsidRDefault="00A065D9">
      <w:pPr>
        <w:pStyle w:val="a6"/>
        <w:rPr>
          <w:rStyle w:val="af7"/>
        </w:rPr>
      </w:pPr>
      <w:r>
        <w:t>双方当事人提交的议价结果一致</w:t>
      </w:r>
      <w:r>
        <w:t>，且不损害他人合法权益的，议价结果为参考价。</w:t>
      </w:r>
    </w:p>
    <w:p w:rsidR="00000649" w:rsidRDefault="00A065D9">
      <w:pPr>
        <w:pStyle w:val="a6"/>
      </w:pPr>
      <w:r>
        <w:rPr>
          <w:rStyle w:val="af7"/>
        </w:rPr>
        <w:t>第五条</w:t>
      </w:r>
      <w:r>
        <w:t xml:space="preserve">　当事人议价不能或者不成，且财产有计税基准价、政府定价或者政府指导价的，人民法院应当向确定参考价时财产所在地的有关机构进行定向询价。</w:t>
      </w:r>
    </w:p>
    <w:p w:rsidR="00000649" w:rsidRDefault="00A065D9">
      <w:pPr>
        <w:pStyle w:val="a6"/>
        <w:rPr>
          <w:rStyle w:val="af7"/>
        </w:rPr>
      </w:pPr>
      <w:r>
        <w:t>双方当事人一致要求直接进行定向询价，且财产有计税基准价、政府定价或者政府指导价的，人民法院应当准许。</w:t>
      </w:r>
    </w:p>
    <w:p w:rsidR="00000649" w:rsidRDefault="00A065D9">
      <w:pPr>
        <w:pStyle w:val="a6"/>
      </w:pPr>
      <w:r>
        <w:rPr>
          <w:rStyle w:val="af7"/>
        </w:rPr>
        <w:t>第六条</w:t>
      </w:r>
      <w:r>
        <w:t xml:space="preserve">　采取定向询价方式确定参考价的，人民法院应当向有关机构出具询价函，询价函应当载明询价要求、完成期限等内容。</w:t>
      </w:r>
    </w:p>
    <w:p w:rsidR="00000649" w:rsidRDefault="00A065D9">
      <w:pPr>
        <w:pStyle w:val="a6"/>
        <w:rPr>
          <w:rStyle w:val="af7"/>
        </w:rPr>
      </w:pPr>
      <w:r>
        <w:t>接受定向询价的机构在指定期限内出具的询价结果为参考价。</w:t>
      </w:r>
    </w:p>
    <w:p w:rsidR="00000649" w:rsidRDefault="00A065D9">
      <w:pPr>
        <w:pStyle w:val="a6"/>
      </w:pPr>
      <w:r>
        <w:rPr>
          <w:rStyle w:val="af7"/>
        </w:rPr>
        <w:t>第七条</w:t>
      </w:r>
      <w:r>
        <w:t xml:space="preserve">　定向询价不能或者不成，财产无需由专业人员现场勘</w:t>
      </w:r>
      <w:r>
        <w:t>验或者鉴定，且具备网络询价条件的，人民法院应当通过司法网络询价平台进行网络询价。</w:t>
      </w:r>
    </w:p>
    <w:p w:rsidR="00000649" w:rsidRDefault="00A065D9">
      <w:pPr>
        <w:pStyle w:val="a6"/>
        <w:rPr>
          <w:rStyle w:val="af7"/>
        </w:rPr>
      </w:pPr>
      <w:r>
        <w:lastRenderedPageBreak/>
        <w:t>双方当事人一致要求或者同意直接进行网络询价，财产无需由专业人员现场勘验或者鉴定，且具备网络询价条件的，人民法院应当准许。</w:t>
      </w:r>
    </w:p>
    <w:p w:rsidR="00000649" w:rsidRDefault="00A065D9">
      <w:pPr>
        <w:pStyle w:val="a6"/>
      </w:pPr>
      <w:r>
        <w:rPr>
          <w:rStyle w:val="af7"/>
        </w:rPr>
        <w:t>第八条</w:t>
      </w:r>
      <w:r>
        <w:t xml:space="preserve">　最高人民法院建立全国性司法网络询价平台名单库。</w:t>
      </w:r>
    </w:p>
    <w:p w:rsidR="00000649" w:rsidRDefault="00A065D9">
      <w:pPr>
        <w:pStyle w:val="a6"/>
      </w:pPr>
      <w:r>
        <w:t>司法网络询价平台应当同时符合下列条件：</w:t>
      </w:r>
    </w:p>
    <w:p w:rsidR="00000649" w:rsidRDefault="00A065D9">
      <w:pPr>
        <w:pStyle w:val="a6"/>
      </w:pPr>
      <w:r>
        <w:rPr>
          <w:rFonts w:hint="eastAsia"/>
        </w:rPr>
        <w:t>（</w:t>
      </w:r>
      <w:r>
        <w:t>一</w:t>
      </w:r>
      <w:r>
        <w:rPr>
          <w:rFonts w:hint="eastAsia"/>
        </w:rPr>
        <w:t>）</w:t>
      </w:r>
      <w:r>
        <w:t>具备能够依法开展互联网信息服务工作的资质；</w:t>
      </w:r>
    </w:p>
    <w:p w:rsidR="00000649" w:rsidRDefault="00A065D9">
      <w:pPr>
        <w:pStyle w:val="a6"/>
      </w:pPr>
      <w:r>
        <w:rPr>
          <w:rFonts w:hint="eastAsia"/>
        </w:rPr>
        <w:t>（</w:t>
      </w:r>
      <w:r>
        <w:t>二</w:t>
      </w:r>
      <w:r>
        <w:rPr>
          <w:rFonts w:hint="eastAsia"/>
        </w:rPr>
        <w:t>）</w:t>
      </w:r>
      <w:r>
        <w:t>能够合法获取并整合全国各地区同种类财产一定时期的既往成交价、政府定价、政府指导价或者市场公开交易价等不少于三类价格数据，并保证数据真实、准确；</w:t>
      </w:r>
    </w:p>
    <w:p w:rsidR="00000649" w:rsidRDefault="00A065D9">
      <w:pPr>
        <w:pStyle w:val="a6"/>
      </w:pPr>
      <w:r>
        <w:rPr>
          <w:rFonts w:hint="eastAsia"/>
        </w:rPr>
        <w:t>（</w:t>
      </w:r>
      <w:r>
        <w:t>三</w:t>
      </w:r>
      <w:r>
        <w:rPr>
          <w:rFonts w:hint="eastAsia"/>
        </w:rPr>
        <w:t>）</w:t>
      </w:r>
      <w:r>
        <w:t>能够根据数据化财产特征，运用一定的运算规则对市场既往交易价格、交易趋势予以分析；</w:t>
      </w:r>
    </w:p>
    <w:p w:rsidR="00000649" w:rsidRDefault="00A065D9">
      <w:pPr>
        <w:pStyle w:val="a6"/>
      </w:pPr>
      <w:r>
        <w:rPr>
          <w:rFonts w:hint="eastAsia"/>
        </w:rPr>
        <w:t>（</w:t>
      </w:r>
      <w:r>
        <w:t>四</w:t>
      </w:r>
      <w:r>
        <w:rPr>
          <w:rFonts w:hint="eastAsia"/>
        </w:rPr>
        <w:t>）</w:t>
      </w:r>
      <w:r>
        <w:t>程序运行规范、系统安全高效、服务质优价廉；</w:t>
      </w:r>
    </w:p>
    <w:p w:rsidR="00000649" w:rsidRDefault="00A065D9">
      <w:pPr>
        <w:pStyle w:val="a6"/>
        <w:rPr>
          <w:rStyle w:val="af7"/>
        </w:rPr>
      </w:pPr>
      <w:r>
        <w:rPr>
          <w:rFonts w:hint="eastAsia"/>
        </w:rPr>
        <w:t>（</w:t>
      </w:r>
      <w:r>
        <w:t>五</w:t>
      </w:r>
      <w:r>
        <w:rPr>
          <w:rFonts w:hint="eastAsia"/>
        </w:rPr>
        <w:t>）</w:t>
      </w:r>
      <w:r>
        <w:t>能够全程记载数据的分析过程，将形成的电子数据完整保存不少于十年，但法律、行政法规、司法解释另有规定的除外。</w:t>
      </w:r>
    </w:p>
    <w:p w:rsidR="00000649" w:rsidRDefault="00A065D9">
      <w:pPr>
        <w:pStyle w:val="a6"/>
      </w:pPr>
      <w:r>
        <w:rPr>
          <w:rStyle w:val="af7"/>
        </w:rPr>
        <w:t>第九条</w:t>
      </w:r>
      <w:r>
        <w:t xml:space="preserve">　最高人民法院组成专门的评审委员会，负责司法网络询价平台的选定、评审和除名。每年引入权威第三方对已纳入和新申请纳入名单库的司法网络询价平台予以评审并公布结果。</w:t>
      </w:r>
    </w:p>
    <w:p w:rsidR="00000649" w:rsidRDefault="00A065D9">
      <w:pPr>
        <w:pStyle w:val="a6"/>
      </w:pPr>
      <w:r>
        <w:t>司法网络询价平台具有下列情形之一的，应当将其从名单库中除名：</w:t>
      </w:r>
    </w:p>
    <w:p w:rsidR="00000649" w:rsidRDefault="00A065D9">
      <w:pPr>
        <w:pStyle w:val="a6"/>
      </w:pPr>
      <w:r>
        <w:rPr>
          <w:rFonts w:hint="eastAsia"/>
        </w:rPr>
        <w:t>（</w:t>
      </w:r>
      <w:r>
        <w:t>一</w:t>
      </w:r>
      <w:r>
        <w:rPr>
          <w:rFonts w:hint="eastAsia"/>
        </w:rPr>
        <w:t>）</w:t>
      </w:r>
      <w:r>
        <w:t>无正当理由拒绝进行网络询价；</w:t>
      </w:r>
    </w:p>
    <w:p w:rsidR="00000649" w:rsidRDefault="00A065D9">
      <w:pPr>
        <w:pStyle w:val="a6"/>
      </w:pPr>
      <w:r>
        <w:rPr>
          <w:rFonts w:hint="eastAsia"/>
        </w:rPr>
        <w:lastRenderedPageBreak/>
        <w:t>（</w:t>
      </w:r>
      <w:r>
        <w:t>二</w:t>
      </w:r>
      <w:r>
        <w:rPr>
          <w:rFonts w:hint="eastAsia"/>
        </w:rPr>
        <w:t>）</w:t>
      </w:r>
      <w:r>
        <w:t>无正当理由一年内累计五次未按期完成网络询价；</w:t>
      </w:r>
    </w:p>
    <w:p w:rsidR="00000649" w:rsidRDefault="00A065D9">
      <w:pPr>
        <w:pStyle w:val="a6"/>
      </w:pPr>
      <w:r>
        <w:rPr>
          <w:rFonts w:hint="eastAsia"/>
        </w:rPr>
        <w:t>（</w:t>
      </w:r>
      <w:r>
        <w:t>三</w:t>
      </w:r>
      <w:r>
        <w:rPr>
          <w:rFonts w:hint="eastAsia"/>
        </w:rPr>
        <w:t>）</w:t>
      </w:r>
      <w:r>
        <w:t>存在恶意串通、弄虚作假、泄露保密信息等行为；</w:t>
      </w:r>
    </w:p>
    <w:p w:rsidR="00000649" w:rsidRDefault="00A065D9">
      <w:pPr>
        <w:pStyle w:val="a6"/>
      </w:pPr>
      <w:r>
        <w:rPr>
          <w:rFonts w:hint="eastAsia"/>
        </w:rPr>
        <w:t>（</w:t>
      </w:r>
      <w:r>
        <w:t>四</w:t>
      </w:r>
      <w:r>
        <w:rPr>
          <w:rFonts w:hint="eastAsia"/>
        </w:rPr>
        <w:t>）</w:t>
      </w:r>
      <w:r>
        <w:t>经权威第三方评审认定不符合提供网络询价服务条件；</w:t>
      </w:r>
    </w:p>
    <w:p w:rsidR="00000649" w:rsidRDefault="00A065D9">
      <w:pPr>
        <w:pStyle w:val="a6"/>
      </w:pPr>
      <w:r>
        <w:rPr>
          <w:rFonts w:hint="eastAsia"/>
        </w:rPr>
        <w:t>（</w:t>
      </w:r>
      <w:r>
        <w:t>五</w:t>
      </w:r>
      <w:r>
        <w:rPr>
          <w:rFonts w:hint="eastAsia"/>
        </w:rPr>
        <w:t>）</w:t>
      </w:r>
      <w:r>
        <w:t>存在其他违反询价规则以及法律、行政法规、司法解释规定的情形。</w:t>
      </w:r>
    </w:p>
    <w:p w:rsidR="00000649" w:rsidRDefault="00A065D9">
      <w:pPr>
        <w:pStyle w:val="a6"/>
        <w:rPr>
          <w:rStyle w:val="af7"/>
        </w:rPr>
      </w:pPr>
      <w:r>
        <w:t>司法网络询价平台被除名后，五年内不得被纳入名单库。</w:t>
      </w:r>
    </w:p>
    <w:p w:rsidR="00000649" w:rsidRDefault="00A065D9">
      <w:pPr>
        <w:pStyle w:val="a6"/>
        <w:rPr>
          <w:rStyle w:val="af7"/>
        </w:rPr>
      </w:pPr>
      <w:r>
        <w:rPr>
          <w:rStyle w:val="af7"/>
        </w:rPr>
        <w:t>第十条</w:t>
      </w:r>
      <w:r>
        <w:t xml:space="preserve">　采取网络询价方式确定参考价的，人民法院应当同时向名单库中的全部司法网络询价平台发出网络询价委托书。网络询价委托书应当载明财产名称、物理特征、规格数量、目的要求、完成期限以及其他需要明确的内容等。</w:t>
      </w:r>
    </w:p>
    <w:p w:rsidR="00000649" w:rsidRDefault="00A065D9">
      <w:pPr>
        <w:pStyle w:val="a6"/>
      </w:pPr>
      <w:r>
        <w:rPr>
          <w:rStyle w:val="af7"/>
        </w:rPr>
        <w:t>第十一条</w:t>
      </w:r>
      <w:r>
        <w:t xml:space="preserve">　司法网络询价平台应当在收到人民法院网络询价委托书之日起三日内出具网络询价报告。网络询价报告应当载明财产的基本情况、参照样本、计算方法、询价结果及有效期等内容。</w:t>
      </w:r>
    </w:p>
    <w:p w:rsidR="00000649" w:rsidRDefault="00A065D9">
      <w:pPr>
        <w:pStyle w:val="a6"/>
      </w:pPr>
      <w:r>
        <w:t>司法网络询价平台不能在期限内完成询价的，应当在期限届满前申请延长期限。全部司法网络询价平台均未能在期限内出具询价结果的，人民法院应当根据各司法网络询价平台的延期申请延期三日；部分司法网络询价平台在期限内出具网络询价结果的，人民法院对其他司法网络询价平台的延期申请不予准许。</w:t>
      </w:r>
    </w:p>
    <w:p w:rsidR="00000649" w:rsidRDefault="00A065D9">
      <w:pPr>
        <w:pStyle w:val="a6"/>
      </w:pPr>
      <w:r>
        <w:t>全部司法网络询价平台均未在期限内出具或者补正网络询价报告，且未按照规定申请延</w:t>
      </w:r>
      <w:r>
        <w:t>长期限的，人民法院应当委托评估机构进行评估。</w:t>
      </w:r>
    </w:p>
    <w:p w:rsidR="00000649" w:rsidRDefault="00A065D9">
      <w:pPr>
        <w:pStyle w:val="a6"/>
        <w:rPr>
          <w:rStyle w:val="af7"/>
        </w:rPr>
      </w:pPr>
      <w:r>
        <w:lastRenderedPageBreak/>
        <w:t>人民法院未在网络询价结果有效期内发布一拍拍卖公告或者直接进入变卖程序的，应当通知司法网络询价平台在三日内重新出具网络询价报告。</w:t>
      </w:r>
    </w:p>
    <w:p w:rsidR="00000649" w:rsidRDefault="00A065D9">
      <w:pPr>
        <w:pStyle w:val="a6"/>
        <w:rPr>
          <w:rStyle w:val="af7"/>
        </w:rPr>
      </w:pPr>
      <w:r>
        <w:rPr>
          <w:rStyle w:val="af7"/>
        </w:rPr>
        <w:t>第十二条</w:t>
      </w:r>
      <w:r>
        <w:t xml:space="preserve">　人民法院应当对网络询价报告进行审查。网络询价报告均存在财产基本信息错误、超出财产范围或者遗漏财产等情形的，应当通知司法网络询价平台在三日内予以补正；部分网络询价报告不存在上述情形的，无需通知其他司法网络询价平台补正。</w:t>
      </w:r>
    </w:p>
    <w:p w:rsidR="00000649" w:rsidRDefault="00A065D9">
      <w:pPr>
        <w:pStyle w:val="a6"/>
      </w:pPr>
      <w:r>
        <w:rPr>
          <w:rStyle w:val="af7"/>
        </w:rPr>
        <w:t>第十三条</w:t>
      </w:r>
      <w:r>
        <w:t xml:space="preserve">　全部司法网络询价平台均在期限内出具询价结果或者补正结果的，人民法院应当以全部司法网络询价平台出具结果</w:t>
      </w:r>
      <w:r>
        <w:t>的平均值为参考价；部分司法网络询价平台在期限内出具询价结果或者补正结果的，人民法院应当以该部分司法网络询价平台出具结果的平均值为参考价。</w:t>
      </w:r>
    </w:p>
    <w:p w:rsidR="00000649" w:rsidRDefault="00A065D9">
      <w:pPr>
        <w:pStyle w:val="a6"/>
        <w:rPr>
          <w:rStyle w:val="af7"/>
        </w:rPr>
      </w:pPr>
      <w:r>
        <w:t>当事人、利害关系人依据本规定第二十二条的规定对全部网络询价报告均提出异议，且所提异议被驳回或者司法网络询价平台已作出补正的，人民法院应当以异议被驳回或者已作出补正的各司法网络询价平台出具结果的平均值为参考价；对部分网络询价报告提出异议的，人民法院应当以网络询价报告未被提出异议的各司法网络询价平台出具结果的平均值为参考价。</w:t>
      </w:r>
    </w:p>
    <w:p w:rsidR="00000649" w:rsidRDefault="00A065D9">
      <w:pPr>
        <w:pStyle w:val="a6"/>
        <w:rPr>
          <w:rStyle w:val="af7"/>
        </w:rPr>
      </w:pPr>
      <w:r>
        <w:rPr>
          <w:rStyle w:val="af7"/>
        </w:rPr>
        <w:t>第十四条</w:t>
      </w:r>
      <w:r>
        <w:t xml:space="preserve">　法律、行政法规规定必须委托评估、双方当事</w:t>
      </w:r>
      <w:r>
        <w:t>人要求委托评估或者网络询价不能或不成的，人民法院应当委托评估机构进行评估。</w:t>
      </w:r>
    </w:p>
    <w:p w:rsidR="00000649" w:rsidRDefault="00A065D9">
      <w:pPr>
        <w:pStyle w:val="a6"/>
      </w:pPr>
      <w:r>
        <w:rPr>
          <w:rStyle w:val="af7"/>
        </w:rPr>
        <w:lastRenderedPageBreak/>
        <w:t>第十五条</w:t>
      </w:r>
      <w:r>
        <w:t xml:space="preserve">　最高人民法院根据全国性评估行业协会推荐的评估机构名单建立人民法院司法评估机构名单库。按评估专业领域和评估机构的执业范围建立名单分库，在分库下根据行政区划设省、市两级名单子库。</w:t>
      </w:r>
    </w:p>
    <w:p w:rsidR="00000649" w:rsidRDefault="00A065D9">
      <w:pPr>
        <w:pStyle w:val="a6"/>
        <w:rPr>
          <w:rStyle w:val="af7"/>
        </w:rPr>
      </w:pPr>
      <w:r>
        <w:t>评估机构无正当理由拒绝进行司法评估或者存在弄虚作假等情形的，最高人民法院可以商全国性评估行业协会将其从名单库中除名；除名后五年内不得被纳入名单库。</w:t>
      </w:r>
    </w:p>
    <w:p w:rsidR="00000649" w:rsidRDefault="00A065D9">
      <w:pPr>
        <w:pStyle w:val="a6"/>
        <w:rPr>
          <w:rStyle w:val="af7"/>
        </w:rPr>
      </w:pPr>
      <w:r>
        <w:rPr>
          <w:rStyle w:val="af7"/>
        </w:rPr>
        <w:t>第十六条</w:t>
      </w:r>
      <w:r>
        <w:t xml:space="preserve">　采取委托评估方式确定参考价的，人民法院应当通知双方当事人在指定期限内从名单分库中协商确定三家</w:t>
      </w:r>
      <w:r>
        <w:t>评估机构以及顺序；双方当事人在指定期限内协商不成或者一方当事人下落不明的，采取摇号方式在名单分库或者财产所在地的名单子库中随机确定三家评估机构以及顺序。双方当事人一致要求在同一名单子库中随机确定的，人民法院应当准许。</w:t>
      </w:r>
    </w:p>
    <w:p w:rsidR="00000649" w:rsidRDefault="00A065D9">
      <w:pPr>
        <w:pStyle w:val="a6"/>
      </w:pPr>
      <w:r>
        <w:rPr>
          <w:rStyle w:val="af7"/>
        </w:rPr>
        <w:t>第十七条</w:t>
      </w:r>
      <w:r>
        <w:t xml:space="preserve">　人民法院应当向顺序在先的评估机构出具评估委托书，评估委托书应当载明财产名称、物理特征、规格数量、目的要求、完成期限以及其他需要明确的内容等，同时应当将查明的财产情况及相关材料一并移交给评估机构。</w:t>
      </w:r>
    </w:p>
    <w:p w:rsidR="00000649" w:rsidRDefault="00A065D9">
      <w:pPr>
        <w:pStyle w:val="a6"/>
        <w:rPr>
          <w:rStyle w:val="af7"/>
        </w:rPr>
      </w:pPr>
      <w:r>
        <w:t>评估机构应当出具评估报告，评估报告应当载明评估财产的基本情况、评估方法、评估标准、评估结</w:t>
      </w:r>
      <w:r>
        <w:t>果及有效期等内容。</w:t>
      </w:r>
    </w:p>
    <w:p w:rsidR="00000649" w:rsidRDefault="00A065D9">
      <w:pPr>
        <w:pStyle w:val="a6"/>
        <w:rPr>
          <w:rStyle w:val="af7"/>
        </w:rPr>
      </w:pPr>
      <w:r>
        <w:rPr>
          <w:rStyle w:val="af7"/>
        </w:rPr>
        <w:t>第十八条</w:t>
      </w:r>
      <w:r>
        <w:t xml:space="preserve">　评估需要进行现场勘验的，人民法院应当通知当事人到场；当事人不到场的，不影响勘验的进行，但应当有见证人见证。现场勘验需要当事人、协助义务人配合的，人民法院依</w:t>
      </w:r>
      <w:r>
        <w:lastRenderedPageBreak/>
        <w:t>法责令其配合；不予配合的，可以依法强制进行。</w:t>
      </w:r>
    </w:p>
    <w:p w:rsidR="00000649" w:rsidRDefault="00A065D9">
      <w:pPr>
        <w:pStyle w:val="a6"/>
      </w:pPr>
      <w:r>
        <w:rPr>
          <w:rStyle w:val="af7"/>
        </w:rPr>
        <w:t>第十九条</w:t>
      </w:r>
      <w:r>
        <w:t xml:space="preserve">　评估机构应当在三十日内出具评估报告。人民法院决定暂缓或者裁定中止执行的期间，应当从前述期限中扣除。</w:t>
      </w:r>
    </w:p>
    <w:p w:rsidR="00000649" w:rsidRDefault="00A065D9">
      <w:pPr>
        <w:pStyle w:val="a6"/>
      </w:pPr>
      <w:r>
        <w:t>评估机构不能在期限内出具评估报告的，应当在期限届满五日前书面向人民法院申请延长期限。人民法院决定延长期限的，延期次数不超过两次，每次不超过十五日。</w:t>
      </w:r>
    </w:p>
    <w:p w:rsidR="00000649" w:rsidRDefault="00A065D9">
      <w:pPr>
        <w:pStyle w:val="a6"/>
      </w:pPr>
      <w:r>
        <w:t>评估机构未在期限内出具评</w:t>
      </w:r>
      <w:r>
        <w:t>估报告、补正说明，且未按照规定申请延长期限的，人民法院应当通知该评估机构三日内将人民法院委托评估时移交的材料退回，另行委托下一顺序的评估机构重新进行评估。</w:t>
      </w:r>
    </w:p>
    <w:p w:rsidR="00000649" w:rsidRDefault="00A065D9">
      <w:pPr>
        <w:pStyle w:val="a6"/>
        <w:rPr>
          <w:rStyle w:val="af7"/>
        </w:rPr>
      </w:pPr>
      <w:r>
        <w:t>人民法院未在评估结果有效期内发布一拍拍卖公告或者直接进入变卖程序的，应当通知原评估机构在十五日内重新出具评估报告。</w:t>
      </w:r>
    </w:p>
    <w:p w:rsidR="00000649" w:rsidRDefault="00A065D9">
      <w:pPr>
        <w:pStyle w:val="a6"/>
      </w:pPr>
      <w:r>
        <w:rPr>
          <w:rStyle w:val="af7"/>
        </w:rPr>
        <w:t>第二十条</w:t>
      </w:r>
      <w:r>
        <w:t xml:space="preserve">　人民法院应当对评估报告进行审查。具有下列情形之一的，应当责令评估机构在三日内予以书面说明或者补正：</w:t>
      </w:r>
    </w:p>
    <w:p w:rsidR="00000649" w:rsidRDefault="00A065D9">
      <w:pPr>
        <w:pStyle w:val="a6"/>
      </w:pPr>
      <w:r>
        <w:rPr>
          <w:rFonts w:hint="eastAsia"/>
        </w:rPr>
        <w:t>（</w:t>
      </w:r>
      <w:r>
        <w:t>一</w:t>
      </w:r>
      <w:r>
        <w:rPr>
          <w:rFonts w:hint="eastAsia"/>
        </w:rPr>
        <w:t>）</w:t>
      </w:r>
      <w:r>
        <w:t>财产基本信息错误；</w:t>
      </w:r>
    </w:p>
    <w:p w:rsidR="00000649" w:rsidRDefault="00A065D9">
      <w:pPr>
        <w:pStyle w:val="a6"/>
      </w:pPr>
      <w:r>
        <w:rPr>
          <w:rFonts w:hint="eastAsia"/>
        </w:rPr>
        <w:t>（</w:t>
      </w:r>
      <w:r>
        <w:t>二</w:t>
      </w:r>
      <w:r>
        <w:rPr>
          <w:rFonts w:hint="eastAsia"/>
        </w:rPr>
        <w:t>）</w:t>
      </w:r>
      <w:r>
        <w:t>超出财产范围或者遗漏财产；</w:t>
      </w:r>
    </w:p>
    <w:p w:rsidR="00000649" w:rsidRDefault="00A065D9">
      <w:pPr>
        <w:pStyle w:val="a6"/>
      </w:pPr>
      <w:r>
        <w:rPr>
          <w:rFonts w:hint="eastAsia"/>
        </w:rPr>
        <w:t>（</w:t>
      </w:r>
      <w:r>
        <w:t>三</w:t>
      </w:r>
      <w:r>
        <w:rPr>
          <w:rFonts w:hint="eastAsia"/>
        </w:rPr>
        <w:t>）</w:t>
      </w:r>
      <w:r>
        <w:t>选定的评估机构与评估报告上签章的评估机构不符；</w:t>
      </w:r>
    </w:p>
    <w:p w:rsidR="00000649" w:rsidRDefault="00A065D9">
      <w:pPr>
        <w:pStyle w:val="a6"/>
      </w:pPr>
      <w:r>
        <w:rPr>
          <w:rFonts w:hint="eastAsia"/>
        </w:rPr>
        <w:t>（</w:t>
      </w:r>
      <w:r>
        <w:t>四</w:t>
      </w:r>
      <w:r>
        <w:rPr>
          <w:rFonts w:hint="eastAsia"/>
        </w:rPr>
        <w:t>）</w:t>
      </w:r>
      <w:r>
        <w:t>评估人员执业资格证明与评估报告上署名的人员不符；</w:t>
      </w:r>
    </w:p>
    <w:p w:rsidR="00000649" w:rsidRDefault="00A065D9">
      <w:pPr>
        <w:pStyle w:val="a6"/>
        <w:rPr>
          <w:rStyle w:val="af7"/>
        </w:rPr>
      </w:pPr>
      <w:r>
        <w:rPr>
          <w:rFonts w:hint="eastAsia"/>
        </w:rPr>
        <w:t>（</w:t>
      </w:r>
      <w:r>
        <w:t>五</w:t>
      </w:r>
      <w:r>
        <w:rPr>
          <w:rFonts w:hint="eastAsia"/>
        </w:rPr>
        <w:t>）</w:t>
      </w:r>
      <w:r>
        <w:t>具有其他应当书面说明或者补正的情形。</w:t>
      </w:r>
    </w:p>
    <w:p w:rsidR="00000649" w:rsidRDefault="00A065D9">
      <w:pPr>
        <w:pStyle w:val="a6"/>
      </w:pPr>
      <w:r>
        <w:rPr>
          <w:rStyle w:val="af7"/>
        </w:rPr>
        <w:t>第二十一条</w:t>
      </w:r>
      <w:r>
        <w:t xml:space="preserve">　人民法院收到定向询价、网络询价、委托评估、说明补正等报告后，应当在三日内发送给当事人及利害关系人。</w:t>
      </w:r>
    </w:p>
    <w:p w:rsidR="00000649" w:rsidRDefault="00A065D9">
      <w:pPr>
        <w:pStyle w:val="a6"/>
        <w:rPr>
          <w:rStyle w:val="af7"/>
        </w:rPr>
      </w:pPr>
      <w:r>
        <w:lastRenderedPageBreak/>
        <w:t>当事人、利害关系人已提供有效送达地址的，人民法院应当将报告以直接送达、留置送达、委托送达、邮寄送达或者电子送达的方式送达；当事人、利害关系人下落不明或者无法获取其有效送达地址，人民法院无法按照前述规定送达的，应当在中国执行信息公开网上予以公示，公示满十五日即视为收到。</w:t>
      </w:r>
    </w:p>
    <w:p w:rsidR="00000649" w:rsidRDefault="00A065D9">
      <w:pPr>
        <w:pStyle w:val="a6"/>
      </w:pPr>
      <w:r>
        <w:rPr>
          <w:rStyle w:val="af7"/>
        </w:rPr>
        <w:t>第二十二条</w:t>
      </w:r>
      <w:r>
        <w:t xml:space="preserve">　当事人、利害关系人认为网络询价报告或者评估报告具有下列情形之一的，可以在收到报告后五日内提出书面异议：</w:t>
      </w:r>
    </w:p>
    <w:p w:rsidR="00000649" w:rsidRDefault="00A065D9">
      <w:pPr>
        <w:pStyle w:val="a6"/>
      </w:pPr>
      <w:r>
        <w:rPr>
          <w:rFonts w:hint="eastAsia"/>
        </w:rPr>
        <w:t>（</w:t>
      </w:r>
      <w:r>
        <w:t>一</w:t>
      </w:r>
      <w:r>
        <w:rPr>
          <w:rFonts w:hint="eastAsia"/>
        </w:rPr>
        <w:t>）</w:t>
      </w:r>
      <w:r>
        <w:t>财产基本信息错误；</w:t>
      </w:r>
    </w:p>
    <w:p w:rsidR="00000649" w:rsidRDefault="00A065D9">
      <w:pPr>
        <w:pStyle w:val="a6"/>
      </w:pPr>
      <w:r>
        <w:rPr>
          <w:rFonts w:hint="eastAsia"/>
        </w:rPr>
        <w:t>（</w:t>
      </w:r>
      <w:r>
        <w:t>二</w:t>
      </w:r>
      <w:r>
        <w:rPr>
          <w:rFonts w:hint="eastAsia"/>
        </w:rPr>
        <w:t>）</w:t>
      </w:r>
      <w:r>
        <w:t>超出财产范围或者遗漏财产；</w:t>
      </w:r>
    </w:p>
    <w:p w:rsidR="00000649" w:rsidRDefault="00A065D9">
      <w:pPr>
        <w:pStyle w:val="a6"/>
      </w:pPr>
      <w:r>
        <w:rPr>
          <w:rFonts w:hint="eastAsia"/>
        </w:rPr>
        <w:t>（</w:t>
      </w:r>
      <w:r>
        <w:t>三</w:t>
      </w:r>
      <w:r>
        <w:rPr>
          <w:rFonts w:hint="eastAsia"/>
        </w:rPr>
        <w:t>）</w:t>
      </w:r>
      <w:r>
        <w:t>评估机构或者评估人员不具备相应评估资质；</w:t>
      </w:r>
    </w:p>
    <w:p w:rsidR="00000649" w:rsidRDefault="00A065D9">
      <w:pPr>
        <w:pStyle w:val="a6"/>
      </w:pPr>
      <w:r>
        <w:rPr>
          <w:rFonts w:hint="eastAsia"/>
        </w:rPr>
        <w:t>（</w:t>
      </w:r>
      <w:r>
        <w:t>四</w:t>
      </w:r>
      <w:r>
        <w:rPr>
          <w:rFonts w:hint="eastAsia"/>
        </w:rPr>
        <w:t>）</w:t>
      </w:r>
      <w:r>
        <w:t>评估程序严重违法。</w:t>
      </w:r>
    </w:p>
    <w:p w:rsidR="00000649" w:rsidRDefault="00A065D9">
      <w:pPr>
        <w:pStyle w:val="a6"/>
        <w:rPr>
          <w:rStyle w:val="af7"/>
        </w:rPr>
      </w:pPr>
      <w:r>
        <w:t>对当事人、利害关系人依据前款规定提出的书面异议，人民法院应当参照民事诉讼法第二百二十五条的规定处理。</w:t>
      </w:r>
    </w:p>
    <w:p w:rsidR="00000649" w:rsidRDefault="00A065D9">
      <w:pPr>
        <w:pStyle w:val="a6"/>
      </w:pPr>
      <w:r>
        <w:rPr>
          <w:rStyle w:val="af7"/>
        </w:rPr>
        <w:t>第二十三条</w:t>
      </w:r>
      <w:r>
        <w:t xml:space="preserve">　当事人、利害关系人收到评估报告后五日内对评估报告的参照标准、计算方法或者评估结果等提出书面异议的，人民法院应当在三日内交评估机构予以书面说明。评估机构在五日内</w:t>
      </w:r>
      <w:r>
        <w:t>未作说明或者当事人、利害关系人对作出的说明仍有异议的，人民法院应当交由相关行业协会在指定期限内组织专业技术评审，并根据专业技术评审出具的结论认定评估结果或者责令原评估机构予以补正。</w:t>
      </w:r>
    </w:p>
    <w:p w:rsidR="00000649" w:rsidRDefault="00A065D9">
      <w:pPr>
        <w:pStyle w:val="a6"/>
        <w:rPr>
          <w:rStyle w:val="af7"/>
        </w:rPr>
      </w:pPr>
      <w:r>
        <w:t>当事人、利害关系人提出前款异议，同时涉及本规定第二十</w:t>
      </w:r>
      <w:r>
        <w:lastRenderedPageBreak/>
        <w:t>二条第一款第一、二项情形的，按照前款规定处理；同时涉及本规定第二十二条第一款第三、四项情形的，按照本规定第二十二条第二款先对第三、四项情形审查，异议成立的，应当通知评估机构三日内将人民法院委托评估时移交的材料退回，另行委托下一顺序的评估机构重新进行评估；异议不成立的，按照前款规</w:t>
      </w:r>
      <w:r>
        <w:t>定处理。</w:t>
      </w:r>
    </w:p>
    <w:p w:rsidR="00000649" w:rsidRDefault="00A065D9">
      <w:pPr>
        <w:pStyle w:val="a6"/>
      </w:pPr>
      <w:r>
        <w:rPr>
          <w:rStyle w:val="af7"/>
        </w:rPr>
        <w:t>第二十四条</w:t>
      </w:r>
      <w:r>
        <w:t xml:space="preserve">　当事人、利害关系人未在本规定第二十二条、第二十三条规定的期限内提出异议或者对网络询价平台、评估机构、行业协会按照本规定第二十二条、第二十三条所作的补正说明、专业技术评审结论提出异议的，人民法院不予受理。</w:t>
      </w:r>
    </w:p>
    <w:p w:rsidR="00000649" w:rsidRDefault="00A065D9">
      <w:pPr>
        <w:pStyle w:val="a6"/>
        <w:rPr>
          <w:rStyle w:val="af7"/>
        </w:rPr>
      </w:pPr>
      <w:r>
        <w:t>当事人、利害关系人对议价或者定向询价提出异议的，人民法院不予受理。</w:t>
      </w:r>
    </w:p>
    <w:p w:rsidR="00000649" w:rsidRDefault="00A065D9">
      <w:pPr>
        <w:pStyle w:val="a6"/>
      </w:pPr>
      <w:r>
        <w:rPr>
          <w:rStyle w:val="af7"/>
        </w:rPr>
        <w:t>第二十五条</w:t>
      </w:r>
      <w:r>
        <w:t xml:space="preserve">　当事人、利害关系人有证据证明具有下列情形之一，且在发布一拍拍卖公告或者直接进入变卖程序之前提出异议的，人民法院应当按照执行监督程序进行审查处理：</w:t>
      </w:r>
    </w:p>
    <w:p w:rsidR="00000649" w:rsidRDefault="00A065D9">
      <w:pPr>
        <w:pStyle w:val="a6"/>
      </w:pPr>
      <w:r>
        <w:rPr>
          <w:rFonts w:hint="eastAsia"/>
        </w:rPr>
        <w:t>（</w:t>
      </w:r>
      <w:r>
        <w:t>一</w:t>
      </w:r>
      <w:r>
        <w:rPr>
          <w:rFonts w:hint="eastAsia"/>
        </w:rPr>
        <w:t>）</w:t>
      </w:r>
      <w:r>
        <w:t>议价中存在欺诈、胁迫情形；</w:t>
      </w:r>
    </w:p>
    <w:p w:rsidR="00000649" w:rsidRDefault="00A065D9">
      <w:pPr>
        <w:pStyle w:val="a6"/>
      </w:pPr>
      <w:r>
        <w:rPr>
          <w:rFonts w:hint="eastAsia"/>
        </w:rPr>
        <w:t>（</w:t>
      </w:r>
      <w:r>
        <w:t>二</w:t>
      </w:r>
      <w:r>
        <w:rPr>
          <w:rFonts w:hint="eastAsia"/>
        </w:rPr>
        <w:t>）</w:t>
      </w:r>
      <w:r>
        <w:t>恶意串通损害第三人利</w:t>
      </w:r>
      <w:r>
        <w:t>益；</w:t>
      </w:r>
    </w:p>
    <w:p w:rsidR="00000649" w:rsidRDefault="00A065D9">
      <w:pPr>
        <w:pStyle w:val="a6"/>
      </w:pPr>
      <w:r>
        <w:rPr>
          <w:rFonts w:hint="eastAsia"/>
        </w:rPr>
        <w:t>（</w:t>
      </w:r>
      <w:r>
        <w:t>三</w:t>
      </w:r>
      <w:r>
        <w:rPr>
          <w:rFonts w:hint="eastAsia"/>
        </w:rPr>
        <w:t>）</w:t>
      </w:r>
      <w:r>
        <w:t>有关机构出具虚假定向询价结果；</w:t>
      </w:r>
    </w:p>
    <w:p w:rsidR="00000649" w:rsidRDefault="00A065D9">
      <w:pPr>
        <w:pStyle w:val="a6"/>
        <w:rPr>
          <w:rStyle w:val="af7"/>
        </w:rPr>
      </w:pPr>
      <w:r>
        <w:rPr>
          <w:rFonts w:hint="eastAsia"/>
        </w:rPr>
        <w:t>（</w:t>
      </w:r>
      <w:r>
        <w:t>四</w:t>
      </w:r>
      <w:r>
        <w:rPr>
          <w:rFonts w:hint="eastAsia"/>
        </w:rPr>
        <w:t>）</w:t>
      </w:r>
      <w:r>
        <w:t>依照本规定第二十二条、第二十三条作出的处理结果确有错误。</w:t>
      </w:r>
    </w:p>
    <w:p w:rsidR="00000649" w:rsidRDefault="00A065D9">
      <w:pPr>
        <w:pStyle w:val="a6"/>
        <w:rPr>
          <w:rStyle w:val="af7"/>
        </w:rPr>
      </w:pPr>
      <w:r>
        <w:rPr>
          <w:rStyle w:val="af7"/>
        </w:rPr>
        <w:t>第二十六条</w:t>
      </w:r>
      <w:r>
        <w:t xml:space="preserve">　当事人、利害关系人对评估报告未提出异议、所提异议被驳回或者评估机构已作出补正的，人民法院应当以评</w:t>
      </w:r>
      <w:r>
        <w:lastRenderedPageBreak/>
        <w:t>估结果或者补正结果为参考价；当事人、利害关系人对评估报告提出的异议成立的，人民法院应当以评估机构作出的补正结果或者重新作出的评估结果为参考价。专业技术评审对评估报告未作出否定结论的，人民法院应当以该评估结果为参考价。</w:t>
      </w:r>
    </w:p>
    <w:p w:rsidR="00000649" w:rsidRDefault="00A065D9">
      <w:pPr>
        <w:pStyle w:val="a6"/>
      </w:pPr>
      <w:r>
        <w:rPr>
          <w:rStyle w:val="af7"/>
        </w:rPr>
        <w:t>第二十七条</w:t>
      </w:r>
      <w:r>
        <w:t xml:space="preserve">　司法网络询价平台、评估机构应当确定网络询价或者委托评估结果的有效期，有效期最长不得超过一年。</w:t>
      </w:r>
    </w:p>
    <w:p w:rsidR="00000649" w:rsidRDefault="00A065D9">
      <w:pPr>
        <w:pStyle w:val="a6"/>
      </w:pPr>
      <w:r>
        <w:t>当事人议价的，可以自行协商确定议价结果的有效期，但不得超过前款规定的期限；定向询价结果的有效期，参照前款规定确定。</w:t>
      </w:r>
    </w:p>
    <w:p w:rsidR="00000649" w:rsidRDefault="00A065D9">
      <w:pPr>
        <w:pStyle w:val="a6"/>
        <w:rPr>
          <w:rStyle w:val="af7"/>
        </w:rPr>
      </w:pPr>
      <w:r>
        <w:t>人民法院在议价、询价、评估结果有效期内发布一拍拍卖公告或者直接进入变卖程序，拍卖、变卖时未超过有效期六个月的，无需重新确定参考价，但法律、行政法规、司法解释另有规定的除外。</w:t>
      </w:r>
    </w:p>
    <w:p w:rsidR="00000649" w:rsidRDefault="00A065D9">
      <w:pPr>
        <w:pStyle w:val="a6"/>
      </w:pPr>
      <w:r>
        <w:rPr>
          <w:rStyle w:val="af7"/>
        </w:rPr>
        <w:t>第二十八条</w:t>
      </w:r>
      <w:r>
        <w:t xml:space="preserve">　具有下列情形之一的，人民法院应当决定暂缓网络询价或者委托评估：</w:t>
      </w:r>
    </w:p>
    <w:p w:rsidR="00000649" w:rsidRDefault="00A065D9">
      <w:pPr>
        <w:pStyle w:val="a6"/>
      </w:pPr>
      <w:r>
        <w:rPr>
          <w:rFonts w:hint="eastAsia"/>
        </w:rPr>
        <w:t>（</w:t>
      </w:r>
      <w:r>
        <w:t>一</w:t>
      </w:r>
      <w:r>
        <w:rPr>
          <w:rFonts w:hint="eastAsia"/>
        </w:rPr>
        <w:t>）</w:t>
      </w:r>
      <w:r>
        <w:t>案件暂缓执行或者中止执行；</w:t>
      </w:r>
    </w:p>
    <w:p w:rsidR="00000649" w:rsidRDefault="00A065D9">
      <w:pPr>
        <w:pStyle w:val="a6"/>
      </w:pPr>
      <w:r>
        <w:rPr>
          <w:rFonts w:hint="eastAsia"/>
        </w:rPr>
        <w:t>（</w:t>
      </w:r>
      <w:r>
        <w:t>二</w:t>
      </w:r>
      <w:r>
        <w:rPr>
          <w:rFonts w:hint="eastAsia"/>
        </w:rPr>
        <w:t>）</w:t>
      </w:r>
      <w:r>
        <w:t>评估材料与</w:t>
      </w:r>
      <w:r>
        <w:t>事实严重不符，可能影响评估结果，需要重新调查核实；</w:t>
      </w:r>
    </w:p>
    <w:p w:rsidR="00000649" w:rsidRDefault="00A065D9">
      <w:pPr>
        <w:pStyle w:val="a6"/>
        <w:rPr>
          <w:rStyle w:val="af7"/>
        </w:rPr>
      </w:pPr>
      <w:r>
        <w:rPr>
          <w:rFonts w:hint="eastAsia"/>
        </w:rPr>
        <w:t>（</w:t>
      </w:r>
      <w:r>
        <w:t>三</w:t>
      </w:r>
      <w:r>
        <w:rPr>
          <w:rFonts w:hint="eastAsia"/>
        </w:rPr>
        <w:t>）</w:t>
      </w:r>
      <w:r>
        <w:t>人民法院认为应当暂缓的其他情形。</w:t>
      </w:r>
    </w:p>
    <w:p w:rsidR="00000649" w:rsidRDefault="00A065D9">
      <w:pPr>
        <w:pStyle w:val="a6"/>
      </w:pPr>
      <w:r>
        <w:rPr>
          <w:rStyle w:val="af7"/>
        </w:rPr>
        <w:t>第二十九条</w:t>
      </w:r>
      <w:r>
        <w:t xml:space="preserve">　具有下列情形之一的，人民法院应当撤回网络询价或者委托评估：</w:t>
      </w:r>
    </w:p>
    <w:p w:rsidR="00000649" w:rsidRDefault="00A065D9">
      <w:pPr>
        <w:pStyle w:val="a6"/>
      </w:pPr>
      <w:r>
        <w:rPr>
          <w:rFonts w:hint="eastAsia"/>
        </w:rPr>
        <w:t>（</w:t>
      </w:r>
      <w:r>
        <w:t>一</w:t>
      </w:r>
      <w:r>
        <w:rPr>
          <w:rFonts w:hint="eastAsia"/>
        </w:rPr>
        <w:t>）</w:t>
      </w:r>
      <w:r>
        <w:t>申请执行人撤回执行申请；</w:t>
      </w:r>
    </w:p>
    <w:p w:rsidR="00000649" w:rsidRDefault="00A065D9">
      <w:pPr>
        <w:pStyle w:val="a6"/>
      </w:pPr>
      <w:r>
        <w:rPr>
          <w:rFonts w:hint="eastAsia"/>
        </w:rPr>
        <w:lastRenderedPageBreak/>
        <w:t>（</w:t>
      </w:r>
      <w:r>
        <w:t>二</w:t>
      </w:r>
      <w:r>
        <w:rPr>
          <w:rFonts w:hint="eastAsia"/>
        </w:rPr>
        <w:t>）</w:t>
      </w:r>
      <w:r>
        <w:t>生效法律文书确定的义务已全部执行完毕；</w:t>
      </w:r>
    </w:p>
    <w:p w:rsidR="00000649" w:rsidRDefault="00A065D9">
      <w:pPr>
        <w:pStyle w:val="a6"/>
      </w:pPr>
      <w:r>
        <w:rPr>
          <w:rFonts w:hint="eastAsia"/>
        </w:rPr>
        <w:t>（</w:t>
      </w:r>
      <w:r>
        <w:t>三</w:t>
      </w:r>
      <w:r>
        <w:rPr>
          <w:rFonts w:hint="eastAsia"/>
        </w:rPr>
        <w:t>）</w:t>
      </w:r>
      <w:r>
        <w:t>据以执行的生效法律文书被撤销或者被裁定不予执行；</w:t>
      </w:r>
    </w:p>
    <w:p w:rsidR="00000649" w:rsidRDefault="00A065D9">
      <w:pPr>
        <w:pStyle w:val="a6"/>
      </w:pPr>
      <w:r>
        <w:rPr>
          <w:rFonts w:hint="eastAsia"/>
        </w:rPr>
        <w:t>（</w:t>
      </w:r>
      <w:r>
        <w:t>四</w:t>
      </w:r>
      <w:r>
        <w:rPr>
          <w:rFonts w:hint="eastAsia"/>
        </w:rPr>
        <w:t>）</w:t>
      </w:r>
      <w:r>
        <w:t>人民法院认为应当撤回的其他情形。</w:t>
      </w:r>
    </w:p>
    <w:p w:rsidR="00000649" w:rsidRDefault="00A065D9">
      <w:pPr>
        <w:pStyle w:val="a6"/>
        <w:rPr>
          <w:rStyle w:val="af7"/>
        </w:rPr>
      </w:pPr>
      <w:r>
        <w:t>人民法院决定网络询价或者委托评估后，双方当事人议价确定参考价或者协商不再对财产进行变价处理的，人民法院可以撤回网络询价或者委托评估。</w:t>
      </w:r>
    </w:p>
    <w:p w:rsidR="00000649" w:rsidRDefault="00A065D9">
      <w:pPr>
        <w:pStyle w:val="a6"/>
        <w:rPr>
          <w:rStyle w:val="af7"/>
        </w:rPr>
      </w:pPr>
      <w:r>
        <w:rPr>
          <w:rStyle w:val="af7"/>
        </w:rPr>
        <w:t>第三十条</w:t>
      </w:r>
      <w:r>
        <w:t xml:space="preserve">　人民法院应当在参考价确定后十日内启动财产变价程序。拍卖的，参照参考价确定起拍价；直接变卖的，参照参考价确定变卖价。</w:t>
      </w:r>
    </w:p>
    <w:p w:rsidR="00000649" w:rsidRDefault="00A065D9">
      <w:pPr>
        <w:pStyle w:val="a6"/>
      </w:pPr>
      <w:r>
        <w:rPr>
          <w:rStyle w:val="af7"/>
        </w:rPr>
        <w:t>第三十一条</w:t>
      </w:r>
      <w:r>
        <w:t xml:space="preserve">　人民法院委托司法网络询价平台进行网络询价的，网络询价费用应当按次计付给出具网络询价结果与财产处置成交价最接近的司法网络询价平台；多家司法网络询价平台出具的网络询价结果相同或者与财产处置成交价差距相同的，网络询价费用平均分配。</w:t>
      </w:r>
    </w:p>
    <w:p w:rsidR="00000649" w:rsidRDefault="00A065D9">
      <w:pPr>
        <w:pStyle w:val="a6"/>
        <w:rPr>
          <w:rStyle w:val="af7"/>
        </w:rPr>
      </w:pPr>
      <w:r>
        <w:t>人民法院依照本规定第十一条第三款规定委托评估机构进行评估或者依照本规定第二十九条规定撤回网络询价的，对司法网络询价平台不计付费用。</w:t>
      </w:r>
    </w:p>
    <w:p w:rsidR="00000649" w:rsidRDefault="00A065D9">
      <w:pPr>
        <w:pStyle w:val="a6"/>
      </w:pPr>
      <w:r>
        <w:rPr>
          <w:rStyle w:val="af7"/>
        </w:rPr>
        <w:t>第三十二条</w:t>
      </w:r>
      <w:r>
        <w:t xml:space="preserve">　人民法院委托</w:t>
      </w:r>
      <w:r>
        <w:t>评估机构进行评估，财产处置未成交的，按照评估机构合理的实际支出计付费用；财产处置成交价高于评估价的，以评估价为基准计付费用；财产处置成交价低于评估价的，以财产处置成交价为基准计付费用。</w:t>
      </w:r>
    </w:p>
    <w:p w:rsidR="00000649" w:rsidRDefault="00A065D9">
      <w:pPr>
        <w:pStyle w:val="a6"/>
      </w:pPr>
      <w:r>
        <w:t>人民法院依照本规定第二十九条规定撤回委托评估的，按照</w:t>
      </w:r>
      <w:r>
        <w:lastRenderedPageBreak/>
        <w:t>评估机构合理的实际支出计付费用；人民法院依照本规定通知原评估机构重新出具评估报告的，按照前款规定的百分之三十计付费用。</w:t>
      </w:r>
    </w:p>
    <w:p w:rsidR="00000649" w:rsidRDefault="00A065D9">
      <w:pPr>
        <w:pStyle w:val="a6"/>
        <w:rPr>
          <w:rStyle w:val="af7"/>
        </w:rPr>
      </w:pPr>
      <w:r>
        <w:t>人民法院依照本规定另行委托评估机构重新进行评估的，对原评估机构不计付费用。</w:t>
      </w:r>
    </w:p>
    <w:p w:rsidR="00000649" w:rsidRDefault="00A065D9">
      <w:pPr>
        <w:pStyle w:val="a6"/>
      </w:pPr>
      <w:r>
        <w:rPr>
          <w:rStyle w:val="af7"/>
        </w:rPr>
        <w:t>第三十三条</w:t>
      </w:r>
      <w:r>
        <w:t xml:space="preserve">　网络询价费及委托评估费由申请执行人先行垫付，由被执行人负担。</w:t>
      </w:r>
    </w:p>
    <w:p w:rsidR="00000649" w:rsidRDefault="00A065D9">
      <w:pPr>
        <w:pStyle w:val="a6"/>
        <w:rPr>
          <w:rStyle w:val="af7"/>
        </w:rPr>
      </w:pPr>
      <w:r>
        <w:t>申请</w:t>
      </w:r>
      <w:r>
        <w:t>执行人通过签订保险合同的方式垫付网络询价费或者委托评估费的，保险人应当向人民法院出具担保书。担保书应当载明因申请执行人未垫付网络询价费或者委托评估费由保险人支付等内容，并附相关证据材料。</w:t>
      </w:r>
    </w:p>
    <w:p w:rsidR="00000649" w:rsidRDefault="00A065D9">
      <w:pPr>
        <w:pStyle w:val="a6"/>
      </w:pPr>
      <w:r>
        <w:rPr>
          <w:rStyle w:val="af7"/>
        </w:rPr>
        <w:t>第三十四条</w:t>
      </w:r>
      <w:r>
        <w:t xml:space="preserve">　最高人民法院建设全</w:t>
      </w:r>
      <w:bookmarkStart w:id="0" w:name="_GoBack"/>
      <w:bookmarkEnd w:id="0"/>
      <w:r>
        <w:t>国法院询价评估系统。询价评估系统与定向询价机构、司法网络询价平台、全国性评估行业协会的系统对接，实现数据共享。</w:t>
      </w:r>
    </w:p>
    <w:p w:rsidR="00000649" w:rsidRDefault="00A065D9">
      <w:pPr>
        <w:pStyle w:val="a6"/>
      </w:pPr>
      <w:r>
        <w:t>询价评估系统应当具有记载当事人议价、定向询价、网络询价、委托评估、摇号过程等功能，并形成固化数据，长期保存、随案备查。</w:t>
      </w:r>
    </w:p>
    <w:p w:rsidR="00000649" w:rsidRDefault="00A065D9">
      <w:pPr>
        <w:pStyle w:val="a6"/>
      </w:pPr>
      <w:r w:rsidRPr="00F010E3">
        <w:rPr>
          <w:rStyle w:val="af7"/>
        </w:rPr>
        <w:t>第三十五条</w:t>
      </w:r>
      <w:r>
        <w:t xml:space="preserve">　本规定自</w:t>
      </w:r>
      <w:r>
        <w:t>2018</w:t>
      </w:r>
      <w:r>
        <w:t>年</w:t>
      </w:r>
      <w:r>
        <w:t>9</w:t>
      </w:r>
      <w:r>
        <w:t>月</w:t>
      </w:r>
      <w:r>
        <w:t>1</w:t>
      </w:r>
      <w:r>
        <w:t>日起施行。</w:t>
      </w:r>
    </w:p>
    <w:p w:rsidR="00000649" w:rsidRDefault="00A065D9">
      <w:pPr>
        <w:pStyle w:val="a6"/>
      </w:pPr>
      <w:r>
        <w:t>最高人民法院此</w:t>
      </w:r>
      <w:r>
        <w:t>前公布的司法解释及规范性文件与本规定不一致的，以本规定为准。</w:t>
      </w:r>
    </w:p>
    <w:sectPr w:rsidR="00000649">
      <w:footerReference w:type="even" r:id="rId9"/>
      <w:footerReference w:type="default" r:id="rId10"/>
      <w:pgSz w:w="11906" w:h="16838"/>
      <w:pgMar w:top="2098" w:right="1474" w:bottom="1984" w:left="1587" w:header="851" w:footer="1587" w:gutter="0"/>
      <w:pgNumType w:start="1"/>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065D9" w:rsidRDefault="00A065D9">
      <w:r>
        <w:separator/>
      </w:r>
    </w:p>
  </w:endnote>
  <w:endnote w:type="continuationSeparator" w:id="0">
    <w:p w:rsidR="00A065D9" w:rsidRDefault="00A065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fixed"/>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649" w:rsidRDefault="00A065D9">
    <w:pPr>
      <w:tabs>
        <w:tab w:val="center" w:pos="4422"/>
        <w:tab w:val="right" w:pos="8306"/>
      </w:tabs>
      <w:rPr>
        <w:rFonts w:ascii="宋体" w:hAnsi="宋体" w:cs="宋体"/>
        <w:sz w:val="28"/>
        <w:szCs w:val="28"/>
      </w:rPr>
    </w:pPr>
    <w:r>
      <w:rPr>
        <w:rFonts w:ascii="宋体" w:hAnsi="宋体" w:cs="宋体" w:hint="eastAsia"/>
        <w:sz w:val="28"/>
        <w:szCs w:val="2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649" w:rsidRDefault="00000649">
    <w:pPr>
      <w:tabs>
        <w:tab w:val="center" w:pos="4153"/>
        <w:tab w:val="right" w:pos="8306"/>
      </w:tabs>
      <w:rPr>
        <w:rFonts w:ascii="宋体" w:hAnsi="宋体" w:cs="宋体"/>
        <w:sz w:val="28"/>
        <w:szCs w:val="2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649" w:rsidRDefault="00A065D9">
    <w:pPr>
      <w:tabs>
        <w:tab w:val="center" w:pos="4422"/>
        <w:tab w:val="right" w:pos="8306"/>
      </w:tabs>
      <w:rPr>
        <w:rFonts w:ascii="宋体" w:hAnsi="宋体" w:cs="宋体"/>
        <w:sz w:val="28"/>
        <w:szCs w:val="28"/>
      </w:rPr>
    </w:pPr>
    <w:r>
      <w:rPr>
        <w:noProof/>
        <w:sz w:val="28"/>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rsidR="00000649" w:rsidRDefault="00A065D9">
                          <w:pPr>
                            <w:pStyle w:val="a3"/>
                            <w:ind w:leftChars="100" w:left="210"/>
                            <w:jc w:val="both"/>
                            <w:rPr>
                              <w:rFonts w:ascii="宋体" w:hAnsi="宋体" w:cs="宋体"/>
                              <w:sz w:val="28"/>
                              <w:szCs w:val="28"/>
                            </w:rPr>
                          </w:pPr>
                          <w:r>
                            <w:rPr>
                              <w:rFonts w:ascii="宋体" w:hAnsi="宋体" w:cs="宋体" w:hint="eastAsia"/>
                              <w:sz w:val="28"/>
                              <w:szCs w:val="28"/>
                            </w:rPr>
                            <w:t>－</w:t>
                          </w:r>
                          <w:r>
                            <w:rPr>
                              <w:rFonts w:ascii="宋体" w:hAnsi="宋体" w:cs="宋体" w:hint="eastAsia"/>
                              <w:sz w:val="28"/>
                              <w:szCs w:val="28"/>
                            </w:rPr>
                            <w:t xml:space="preserve"> </w:t>
                          </w:r>
                          <w:r>
                            <w:rPr>
                              <w:rFonts w:ascii="宋体" w:hAnsi="宋体" w:cs="宋体" w:hint="eastAsia"/>
                              <w:sz w:val="28"/>
                              <w:szCs w:val="28"/>
                            </w:rPr>
                            <w:fldChar w:fldCharType="begin"/>
                          </w:r>
                          <w:r>
                            <w:rPr>
                              <w:rFonts w:ascii="宋体" w:hAnsi="宋体" w:cs="宋体" w:hint="eastAsia"/>
                              <w:sz w:val="28"/>
                              <w:szCs w:val="28"/>
                            </w:rPr>
                            <w:instrText xml:space="preserve"> PAGE  \* MERGEFORMAT </w:instrText>
                          </w:r>
                          <w:r>
                            <w:rPr>
                              <w:rFonts w:ascii="宋体" w:hAnsi="宋体" w:cs="宋体" w:hint="eastAsia"/>
                              <w:sz w:val="28"/>
                              <w:szCs w:val="28"/>
                            </w:rPr>
                            <w:fldChar w:fldCharType="separate"/>
                          </w:r>
                          <w:r w:rsidR="00F010E3">
                            <w:rPr>
                              <w:rFonts w:ascii="宋体" w:hAnsi="宋体" w:cs="宋体"/>
                              <w:noProof/>
                              <w:sz w:val="28"/>
                              <w:szCs w:val="28"/>
                            </w:rPr>
                            <w:t>10</w:t>
                          </w:r>
                          <w:r>
                            <w:rPr>
                              <w:rFonts w:ascii="宋体" w:hAnsi="宋体" w:cs="宋体" w:hint="eastAsia"/>
                              <w:sz w:val="28"/>
                              <w:szCs w:val="28"/>
                            </w:rPr>
                            <w:fldChar w:fldCharType="end"/>
                          </w:r>
                          <w:r>
                            <w:rPr>
                              <w:rFonts w:ascii="宋体" w:hAnsi="宋体" w:cs="宋体" w:hint="eastAsia"/>
                              <w:sz w:val="28"/>
                              <w:szCs w:val="28"/>
                            </w:rPr>
                            <w:t xml:space="preserve"> </w:t>
                          </w:r>
                          <w:r>
                            <w:rPr>
                              <w:rFonts w:ascii="宋体" w:hAnsi="宋体" w:cs="宋体" w:hint="eastAsia"/>
                              <w:sz w:val="28"/>
                              <w:szCs w:val="28"/>
                            </w:rPr>
                            <w:t>－</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4" o:spid="_x0000_s1026" type="#_x0000_t202" style="position:absolute;left:0;text-align:left;margin-left:92.8pt;margin-top:0;width:2in;height:2in;z-index:251662336;visibility:visible;mso-wrap-style:none;mso-wrap-distance-left:9pt;mso-wrap-distance-top:0;mso-wrap-distance-right:9pt;mso-wrap-distance-bottom:0;mso-position-horizontal:outsid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" filled="f" stroked="f" strokeweight=".5pt">
              <v:textbox style="mso-fit-shape-to-text:t" inset="0,0,0,0">
                <w:txbxContent>
                  <w:p w:rsidR="00000649" w:rsidRDefault="00A065D9">
                    <w:pPr>
                      <w:pStyle w:val="a3"/>
                      <w:ind w:leftChars="100" w:left="210"/>
                      <w:jc w:val="both"/>
                      <w:rPr>
                        <w:rFonts w:ascii="宋体" w:hAnsi="宋体" w:cs="宋体"/>
                        <w:sz w:val="28"/>
                        <w:szCs w:val="28"/>
                      </w:rPr>
                    </w:pPr>
                    <w:r>
                      <w:rPr>
                        <w:rFonts w:ascii="宋体" w:hAnsi="宋体" w:cs="宋体" w:hint="eastAsia"/>
                        <w:sz w:val="28"/>
                        <w:szCs w:val="28"/>
                      </w:rPr>
                      <w:t>－</w:t>
                    </w:r>
                    <w:r>
                      <w:rPr>
                        <w:rFonts w:ascii="宋体" w:hAnsi="宋体" w:cs="宋体" w:hint="eastAsia"/>
                        <w:sz w:val="28"/>
                        <w:szCs w:val="28"/>
                      </w:rPr>
                      <w:t xml:space="preserve"> </w:t>
                    </w:r>
                    <w:r>
                      <w:rPr>
                        <w:rFonts w:ascii="宋体" w:hAnsi="宋体" w:cs="宋体" w:hint="eastAsia"/>
                        <w:sz w:val="28"/>
                        <w:szCs w:val="28"/>
                      </w:rPr>
                      <w:fldChar w:fldCharType="begin"/>
                    </w:r>
                    <w:r>
                      <w:rPr>
                        <w:rFonts w:ascii="宋体" w:hAnsi="宋体" w:cs="宋体" w:hint="eastAsia"/>
                        <w:sz w:val="28"/>
                        <w:szCs w:val="28"/>
                      </w:rPr>
                      <w:instrText xml:space="preserve"> PAGE  \* MERGEFORMAT </w:instrText>
                    </w:r>
                    <w:r>
                      <w:rPr>
                        <w:rFonts w:ascii="宋体" w:hAnsi="宋体" w:cs="宋体" w:hint="eastAsia"/>
                        <w:sz w:val="28"/>
                        <w:szCs w:val="28"/>
                      </w:rPr>
                      <w:fldChar w:fldCharType="separate"/>
                    </w:r>
                    <w:r w:rsidR="00F010E3">
                      <w:rPr>
                        <w:rFonts w:ascii="宋体" w:hAnsi="宋体" w:cs="宋体"/>
                        <w:noProof/>
                        <w:sz w:val="28"/>
                        <w:szCs w:val="28"/>
                      </w:rPr>
                      <w:t>10</w:t>
                    </w:r>
                    <w:r>
                      <w:rPr>
                        <w:rFonts w:ascii="宋体" w:hAnsi="宋体" w:cs="宋体" w:hint="eastAsia"/>
                        <w:sz w:val="28"/>
                        <w:szCs w:val="28"/>
                      </w:rPr>
                      <w:fldChar w:fldCharType="end"/>
                    </w:r>
                    <w:r>
                      <w:rPr>
                        <w:rFonts w:ascii="宋体" w:hAnsi="宋体" w:cs="宋体" w:hint="eastAsia"/>
                        <w:sz w:val="28"/>
                        <w:szCs w:val="28"/>
                      </w:rPr>
                      <w:t xml:space="preserve"> </w:t>
                    </w:r>
                    <w:r>
                      <w:rPr>
                        <w:rFonts w:ascii="宋体" w:hAnsi="宋体" w:cs="宋体" w:hint="eastAsia"/>
                        <w:sz w:val="28"/>
                        <w:szCs w:val="28"/>
                      </w:rPr>
                      <w:t>－</w:t>
                    </w:r>
                  </w:p>
                </w:txbxContent>
              </v:textbox>
              <w10:wrap anchorx="margin"/>
            </v:shape>
          </w:pict>
        </mc:Fallback>
      </mc:AlternateContent>
    </w:r>
    <w:r>
      <w:rPr>
        <w:rFonts w:ascii="宋体" w:hAnsi="宋体" w:cs="宋体" w:hint="eastAsia"/>
        <w:sz w:val="28"/>
        <w:szCs w:val="28"/>
      </w:rPr>
      <w:tab/>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649" w:rsidRDefault="00A065D9">
    <w:pPr>
      <w:tabs>
        <w:tab w:val="center" w:pos="4153"/>
        <w:tab w:val="right" w:pos="8306"/>
      </w:tabs>
      <w:rPr>
        <w:rFonts w:ascii="宋体" w:hAnsi="宋体" w:cs="宋体"/>
        <w:sz w:val="28"/>
        <w:szCs w:val="28"/>
      </w:rPr>
    </w:pPr>
    <w:r>
      <w:rPr>
        <w:noProof/>
        <w:sz w:val="2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rsidR="00000649" w:rsidRDefault="00A065D9">
                          <w:pPr>
                            <w:pStyle w:val="a3"/>
                            <w:ind w:rightChars="100" w:right="210"/>
                            <w:jc w:val="both"/>
                            <w:rPr>
                              <w:rFonts w:ascii="宋体" w:hAnsi="宋体" w:cs="宋体"/>
                              <w:sz w:val="28"/>
                              <w:szCs w:val="28"/>
                            </w:rPr>
                          </w:pPr>
                          <w:r>
                            <w:rPr>
                              <w:rFonts w:ascii="宋体" w:hAnsi="宋体" w:cs="宋体" w:hint="eastAsia"/>
                              <w:sz w:val="28"/>
                              <w:szCs w:val="28"/>
                            </w:rPr>
                            <w:t>－</w:t>
                          </w:r>
                          <w:r>
                            <w:rPr>
                              <w:rFonts w:ascii="宋体" w:hAnsi="宋体" w:cs="宋体" w:hint="eastAsia"/>
                              <w:sz w:val="28"/>
                              <w:szCs w:val="28"/>
                            </w:rPr>
                            <w:t xml:space="preserve"> </w:t>
                          </w:r>
                          <w:r>
                            <w:rPr>
                              <w:rFonts w:ascii="宋体" w:hAnsi="宋体" w:cs="宋体" w:hint="eastAsia"/>
                              <w:sz w:val="28"/>
                              <w:szCs w:val="28"/>
                            </w:rPr>
                            <w:fldChar w:fldCharType="begin"/>
                          </w:r>
                          <w:r>
                            <w:rPr>
                              <w:rFonts w:ascii="宋体" w:hAnsi="宋体" w:cs="宋体" w:hint="eastAsia"/>
                              <w:sz w:val="28"/>
                              <w:szCs w:val="28"/>
                            </w:rPr>
                            <w:instrText xml:space="preserve"> PAGE  \* MERGEFORMAT </w:instrText>
                          </w:r>
                          <w:r>
                            <w:rPr>
                              <w:rFonts w:ascii="宋体" w:hAnsi="宋体" w:cs="宋体" w:hint="eastAsia"/>
                              <w:sz w:val="28"/>
                              <w:szCs w:val="28"/>
                            </w:rPr>
                            <w:fldChar w:fldCharType="separate"/>
                          </w:r>
                          <w:r w:rsidR="00F010E3">
                            <w:rPr>
                              <w:rFonts w:ascii="宋体" w:hAnsi="宋体" w:cs="宋体"/>
                              <w:noProof/>
                              <w:sz w:val="28"/>
                              <w:szCs w:val="28"/>
                            </w:rPr>
                            <w:t>9</w:t>
                          </w:r>
                          <w:r>
                            <w:rPr>
                              <w:rFonts w:ascii="宋体" w:hAnsi="宋体" w:cs="宋体" w:hint="eastAsia"/>
                              <w:sz w:val="28"/>
                              <w:szCs w:val="28"/>
                            </w:rPr>
                            <w:fldChar w:fldCharType="end"/>
                          </w:r>
                          <w:r>
                            <w:rPr>
                              <w:rFonts w:ascii="宋体" w:hAnsi="宋体" w:cs="宋体" w:hint="eastAsia"/>
                              <w:sz w:val="28"/>
                              <w:szCs w:val="28"/>
                            </w:rPr>
                            <w:t xml:space="preserve"> </w:t>
                          </w:r>
                          <w:r>
                            <w:rPr>
                              <w:rFonts w:ascii="宋体" w:hAnsi="宋体" w:cs="宋体" w:hint="eastAsia"/>
                              <w:sz w:val="28"/>
                              <w:szCs w:val="28"/>
                            </w:rPr>
                            <w:t>－</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3" o:spid="_x0000_s1027" type="#_x0000_t202" style="position:absolute;left:0;text-align:left;margin-left:92.8pt;margin-top:0;width:2in;height:2in;z-index:251660288;visibility:visible;mso-wrap-style:none;mso-wrap-distance-left:9pt;mso-wrap-distance-top:0;mso-wrap-distance-right:9pt;mso-wrap-distance-bottom:0;mso-position-horizontal:outsid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" filled="f" stroked="f" strokeweight=".5pt">
              <v:textbox style="mso-fit-shape-to-text:t" inset="0,0,0,0">
                <w:txbxContent>
                  <w:p w:rsidR="00000649" w:rsidRDefault="00A065D9">
                    <w:pPr>
                      <w:pStyle w:val="a3"/>
                      <w:ind w:rightChars="100" w:right="210"/>
                      <w:jc w:val="both"/>
                      <w:rPr>
                        <w:rFonts w:ascii="宋体" w:hAnsi="宋体" w:cs="宋体"/>
                        <w:sz w:val="28"/>
                        <w:szCs w:val="28"/>
                      </w:rPr>
                    </w:pPr>
                    <w:r>
                      <w:rPr>
                        <w:rFonts w:ascii="宋体" w:hAnsi="宋体" w:cs="宋体" w:hint="eastAsia"/>
                        <w:sz w:val="28"/>
                        <w:szCs w:val="28"/>
                      </w:rPr>
                      <w:t>－</w:t>
                    </w:r>
                    <w:r>
                      <w:rPr>
                        <w:rFonts w:ascii="宋体" w:hAnsi="宋体" w:cs="宋体" w:hint="eastAsia"/>
                        <w:sz w:val="28"/>
                        <w:szCs w:val="28"/>
                      </w:rPr>
                      <w:t xml:space="preserve"> </w:t>
                    </w:r>
                    <w:r>
                      <w:rPr>
                        <w:rFonts w:ascii="宋体" w:hAnsi="宋体" w:cs="宋体" w:hint="eastAsia"/>
                        <w:sz w:val="28"/>
                        <w:szCs w:val="28"/>
                      </w:rPr>
                      <w:fldChar w:fldCharType="begin"/>
                    </w:r>
                    <w:r>
                      <w:rPr>
                        <w:rFonts w:ascii="宋体" w:hAnsi="宋体" w:cs="宋体" w:hint="eastAsia"/>
                        <w:sz w:val="28"/>
                        <w:szCs w:val="28"/>
                      </w:rPr>
                      <w:instrText xml:space="preserve"> PAGE  \* MERGEFORMAT </w:instrText>
                    </w:r>
                    <w:r>
                      <w:rPr>
                        <w:rFonts w:ascii="宋体" w:hAnsi="宋体" w:cs="宋体" w:hint="eastAsia"/>
                        <w:sz w:val="28"/>
                        <w:szCs w:val="28"/>
                      </w:rPr>
                      <w:fldChar w:fldCharType="separate"/>
                    </w:r>
                    <w:r w:rsidR="00F010E3">
                      <w:rPr>
                        <w:rFonts w:ascii="宋体" w:hAnsi="宋体" w:cs="宋体"/>
                        <w:noProof/>
                        <w:sz w:val="28"/>
                        <w:szCs w:val="28"/>
                      </w:rPr>
                      <w:t>9</w:t>
                    </w:r>
                    <w:r>
                      <w:rPr>
                        <w:rFonts w:ascii="宋体" w:hAnsi="宋体" w:cs="宋体" w:hint="eastAsia"/>
                        <w:sz w:val="28"/>
                        <w:szCs w:val="28"/>
                      </w:rPr>
                      <w:fldChar w:fldCharType="end"/>
                    </w:r>
                    <w:r>
                      <w:rPr>
                        <w:rFonts w:ascii="宋体" w:hAnsi="宋体" w:cs="宋体" w:hint="eastAsia"/>
                        <w:sz w:val="28"/>
                        <w:szCs w:val="28"/>
                      </w:rPr>
                      <w:t xml:space="preserve"> </w:t>
                    </w:r>
                    <w:r>
                      <w:rPr>
                        <w:rFonts w:ascii="宋体" w:hAnsi="宋体" w:cs="宋体" w:hint="eastAsia"/>
                        <w:sz w:val="28"/>
                        <w:szCs w:val="28"/>
                      </w:rPr>
                      <w:t>－</w:t>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065D9" w:rsidRDefault="00A065D9">
      <w:r>
        <w:separator/>
      </w:r>
    </w:p>
  </w:footnote>
  <w:footnote w:type="continuationSeparator" w:id="0">
    <w:p w:rsidR="00A065D9" w:rsidRDefault="00A065D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attachedTemplate r:id="rId1"/>
  <w:defaultTabStop w:val="420"/>
  <w:evenAndOddHeaders/>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0080"/>
    <w:rsid w:val="00000649"/>
    <w:rsid w:val="00323D76"/>
    <w:rsid w:val="004F0080"/>
    <w:rsid w:val="0072125E"/>
    <w:rsid w:val="00A065D9"/>
    <w:rsid w:val="00F010E3"/>
    <w:rsid w:val="02380A4E"/>
    <w:rsid w:val="02C54CFB"/>
    <w:rsid w:val="042F174E"/>
    <w:rsid w:val="0751543E"/>
    <w:rsid w:val="0BE369DE"/>
    <w:rsid w:val="0F9D48A9"/>
    <w:rsid w:val="0FC66F39"/>
    <w:rsid w:val="135B4974"/>
    <w:rsid w:val="19EF53F7"/>
    <w:rsid w:val="1C547AC8"/>
    <w:rsid w:val="20194FCD"/>
    <w:rsid w:val="211007F7"/>
    <w:rsid w:val="224D5C1E"/>
    <w:rsid w:val="28B53323"/>
    <w:rsid w:val="2A483D38"/>
    <w:rsid w:val="2A844039"/>
    <w:rsid w:val="2CFE6EE4"/>
    <w:rsid w:val="2D725F92"/>
    <w:rsid w:val="300F227C"/>
    <w:rsid w:val="302E782D"/>
    <w:rsid w:val="325C564C"/>
    <w:rsid w:val="36AE6775"/>
    <w:rsid w:val="38787F7C"/>
    <w:rsid w:val="39191BFA"/>
    <w:rsid w:val="391F68B5"/>
    <w:rsid w:val="3C5C08F2"/>
    <w:rsid w:val="3D717517"/>
    <w:rsid w:val="3FBC61B7"/>
    <w:rsid w:val="4AEF215E"/>
    <w:rsid w:val="4DA15956"/>
    <w:rsid w:val="4E7D2A86"/>
    <w:rsid w:val="501B3EB2"/>
    <w:rsid w:val="5027117E"/>
    <w:rsid w:val="56C00D65"/>
    <w:rsid w:val="65586BE5"/>
    <w:rsid w:val="66953540"/>
    <w:rsid w:val="6D800228"/>
    <w:rsid w:val="6DAD6BF0"/>
    <w:rsid w:val="6E1B4105"/>
    <w:rsid w:val="6EB66F23"/>
    <w:rsid w:val="74701A1B"/>
    <w:rsid w:val="75FA67F7"/>
    <w:rsid w:val="7F5230F6"/>
    <w:rsid w:val="7FA349B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6CC864AF-370A-4A24-9813-3935050F44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jc w:val="left"/>
    </w:pPr>
    <w:rPr>
      <w:sz w:val="18"/>
    </w:rPr>
  </w:style>
  <w:style w:type="paragraph" w:styleId="a4">
    <w:name w:val="header"/>
    <w:basedOn w:val="a"/>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customStyle="1" w:styleId="a5">
    <w:name w:val="章"/>
    <w:basedOn w:val="a"/>
    <w:qFormat/>
    <w:pPr>
      <w:spacing w:line="560" w:lineRule="exact"/>
      <w:jc w:val="center"/>
    </w:pPr>
    <w:rPr>
      <w:rFonts w:ascii="黑体" w:eastAsia="黑体" w:hAnsi="黑体" w:cs="黑体"/>
      <w:sz w:val="32"/>
      <w:szCs w:val="32"/>
    </w:rPr>
  </w:style>
  <w:style w:type="paragraph" w:customStyle="1" w:styleId="a6">
    <w:name w:val="正文字体"/>
    <w:basedOn w:val="a"/>
    <w:qFormat/>
    <w:pPr>
      <w:spacing w:line="560" w:lineRule="exact"/>
      <w:ind w:firstLineChars="200" w:firstLine="640"/>
    </w:pPr>
    <w:rPr>
      <w:rFonts w:ascii="仿宋_GB2312" w:eastAsia="仿宋_GB2312" w:hAnsi="仿宋_GB2312" w:cs="仿宋_GB2312"/>
      <w:sz w:val="32"/>
      <w:szCs w:val="32"/>
    </w:rPr>
  </w:style>
  <w:style w:type="paragraph" w:customStyle="1" w:styleId="a7">
    <w:name w:val="一、"/>
    <w:basedOn w:val="a"/>
    <w:qFormat/>
    <w:pPr>
      <w:spacing w:line="560" w:lineRule="exact"/>
      <w:ind w:firstLineChars="200" w:firstLine="420"/>
    </w:pPr>
    <w:rPr>
      <w:rFonts w:ascii="黑体" w:eastAsia="黑体" w:hAnsi="黑体" w:cs="黑体"/>
      <w:sz w:val="32"/>
      <w:szCs w:val="32"/>
    </w:rPr>
  </w:style>
  <w:style w:type="paragraph" w:customStyle="1" w:styleId="a8">
    <w:name w:val="表字居中"/>
    <w:basedOn w:val="a"/>
    <w:qFormat/>
    <w:pPr>
      <w:spacing w:line="560" w:lineRule="exact"/>
      <w:jc w:val="center"/>
    </w:pPr>
    <w:rPr>
      <w:rFonts w:ascii="宋体" w:hAnsi="宋体" w:cs="宋体"/>
      <w:szCs w:val="21"/>
    </w:rPr>
  </w:style>
  <w:style w:type="paragraph" w:customStyle="1" w:styleId="a9">
    <w:name w:val="标题名"/>
    <w:basedOn w:val="a"/>
    <w:pPr>
      <w:spacing w:line="560" w:lineRule="exact"/>
      <w:jc w:val="center"/>
    </w:pPr>
    <w:rPr>
      <w:rFonts w:ascii="宋体" w:hAnsi="宋体" w:cs="宋体" w:hint="eastAsia"/>
      <w:sz w:val="44"/>
      <w:szCs w:val="44"/>
    </w:rPr>
  </w:style>
  <w:style w:type="paragraph" w:customStyle="1" w:styleId="aa">
    <w:name w:val="目录"/>
    <w:basedOn w:val="a"/>
    <w:qFormat/>
    <w:pPr>
      <w:spacing w:line="560" w:lineRule="exact"/>
      <w:jc w:val="center"/>
    </w:pPr>
    <w:rPr>
      <w:rFonts w:ascii="楷体_GB2312" w:eastAsia="楷体_GB2312" w:hAnsi="楷体_GB2312" w:cs="楷体_GB2312"/>
      <w:sz w:val="32"/>
      <w:szCs w:val="32"/>
    </w:rPr>
  </w:style>
  <w:style w:type="paragraph" w:customStyle="1" w:styleId="ab">
    <w:name w:val="正式公布内容"/>
    <w:basedOn w:val="a"/>
    <w:qFormat/>
    <w:pPr>
      <w:spacing w:line="560" w:lineRule="exact"/>
      <w:ind w:leftChars="300" w:left="630" w:rightChars="300" w:right="630"/>
    </w:pPr>
    <w:rPr>
      <w:rFonts w:ascii="楷体_GB2312" w:eastAsia="楷体_GB2312" w:hAnsi="楷体_GB2312" w:cs="楷体_GB2312"/>
      <w:sz w:val="32"/>
      <w:szCs w:val="32"/>
    </w:rPr>
  </w:style>
  <w:style w:type="paragraph" w:customStyle="1" w:styleId="ac">
    <w:name w:val="落款"/>
    <w:basedOn w:val="a"/>
    <w:qFormat/>
    <w:pPr>
      <w:spacing w:line="560" w:lineRule="exact"/>
      <w:ind w:rightChars="300" w:right="630"/>
      <w:jc w:val="right"/>
    </w:pPr>
    <w:rPr>
      <w:rFonts w:ascii="仿宋_GB2312" w:eastAsia="仿宋_GB2312" w:hAnsi="仿宋_GB2312" w:cs="仿宋_GB2312"/>
      <w:sz w:val="32"/>
      <w:szCs w:val="32"/>
    </w:rPr>
  </w:style>
  <w:style w:type="paragraph" w:customStyle="1" w:styleId="ad">
    <w:name w:val="（一）"/>
    <w:basedOn w:val="a"/>
    <w:qFormat/>
    <w:pPr>
      <w:spacing w:line="560" w:lineRule="exact"/>
      <w:ind w:firstLineChars="200" w:firstLine="420"/>
    </w:pPr>
    <w:rPr>
      <w:rFonts w:ascii="楷体_GB2312" w:eastAsia="楷体_GB2312" w:hAnsi="楷体_GB2312" w:cs="楷体_GB2312"/>
      <w:sz w:val="32"/>
      <w:szCs w:val="32"/>
    </w:rPr>
  </w:style>
  <w:style w:type="paragraph" w:customStyle="1" w:styleId="ae">
    <w:name w:val="附/附件"/>
    <w:basedOn w:val="a"/>
    <w:qFormat/>
    <w:pPr>
      <w:spacing w:line="560" w:lineRule="exact"/>
      <w:jc w:val="left"/>
    </w:pPr>
    <w:rPr>
      <w:rFonts w:ascii="黑体" w:eastAsia="黑体" w:hAnsi="黑体" w:cs="黑体"/>
      <w:sz w:val="32"/>
      <w:szCs w:val="32"/>
    </w:rPr>
  </w:style>
  <w:style w:type="paragraph" w:customStyle="1" w:styleId="af">
    <w:name w:val="表字"/>
    <w:basedOn w:val="a"/>
    <w:qFormat/>
    <w:pPr>
      <w:spacing w:line="560" w:lineRule="exact"/>
      <w:jc w:val="left"/>
    </w:pPr>
    <w:rPr>
      <w:rFonts w:ascii="宋体" w:hAnsi="宋体" w:cs="宋体"/>
      <w:szCs w:val="21"/>
    </w:rPr>
  </w:style>
  <w:style w:type="paragraph" w:customStyle="1" w:styleId="af0">
    <w:name w:val="修改废止公布内容"/>
    <w:basedOn w:val="a"/>
    <w:qFormat/>
    <w:pPr>
      <w:spacing w:line="560" w:lineRule="exact"/>
      <w:jc w:val="center"/>
    </w:pPr>
    <w:rPr>
      <w:rFonts w:ascii="楷体_GB2312" w:eastAsia="楷体_GB2312" w:hAnsi="楷体_GB2312" w:cs="楷体_GB2312"/>
      <w:sz w:val="32"/>
      <w:szCs w:val="32"/>
    </w:rPr>
  </w:style>
  <w:style w:type="paragraph" w:customStyle="1" w:styleId="af1">
    <w:name w:val="目录内容"/>
    <w:basedOn w:val="a"/>
    <w:qFormat/>
    <w:pPr>
      <w:spacing w:line="560" w:lineRule="exact"/>
      <w:jc w:val="left"/>
    </w:pPr>
    <w:rPr>
      <w:rFonts w:ascii="楷体_GB2312" w:eastAsia="楷体_GB2312" w:hAnsi="楷体_GB2312" w:cs="楷体_GB2312"/>
      <w:sz w:val="32"/>
      <w:szCs w:val="32"/>
    </w:rPr>
  </w:style>
  <w:style w:type="paragraph" w:customStyle="1" w:styleId="af2">
    <w:name w:val="文号居中"/>
    <w:basedOn w:val="a"/>
    <w:qFormat/>
    <w:pPr>
      <w:spacing w:line="560" w:lineRule="exact"/>
      <w:jc w:val="center"/>
    </w:pPr>
    <w:rPr>
      <w:rFonts w:ascii="楷体_GB2312" w:eastAsia="楷体_GB2312" w:hAnsi="楷体_GB2312" w:cs="楷体_GB2312"/>
      <w:sz w:val="32"/>
      <w:szCs w:val="32"/>
    </w:rPr>
  </w:style>
  <w:style w:type="paragraph" w:customStyle="1" w:styleId="af3">
    <w:name w:val="表头"/>
    <w:basedOn w:val="a"/>
    <w:qFormat/>
    <w:pPr>
      <w:spacing w:line="560" w:lineRule="exact"/>
      <w:jc w:val="center"/>
    </w:pPr>
    <w:rPr>
      <w:rFonts w:ascii="黑体" w:eastAsia="黑体" w:hAnsi="黑体" w:cs="黑体"/>
      <w:szCs w:val="21"/>
    </w:rPr>
  </w:style>
  <w:style w:type="paragraph" w:customStyle="1" w:styleId="af4">
    <w:name w:val="节"/>
    <w:basedOn w:val="a"/>
    <w:qFormat/>
    <w:pPr>
      <w:spacing w:line="560" w:lineRule="exact"/>
      <w:jc w:val="center"/>
    </w:pPr>
    <w:rPr>
      <w:rFonts w:ascii="宋体" w:hAnsi="宋体" w:cs="宋体"/>
      <w:sz w:val="32"/>
      <w:szCs w:val="32"/>
    </w:rPr>
  </w:style>
  <w:style w:type="paragraph" w:customStyle="1" w:styleId="af5">
    <w:name w:val="抬头"/>
    <w:basedOn w:val="a6"/>
    <w:qFormat/>
    <w:pPr>
      <w:ind w:firstLineChars="0" w:firstLine="0"/>
      <w:jc w:val="left"/>
    </w:pPr>
  </w:style>
  <w:style w:type="paragraph" w:customStyle="1" w:styleId="af6">
    <w:name w:val="日期文号"/>
    <w:basedOn w:val="a6"/>
    <w:qFormat/>
    <w:pPr>
      <w:ind w:rightChars="600" w:right="1260" w:firstLineChars="0" w:firstLine="0"/>
      <w:jc w:val="right"/>
    </w:pPr>
    <w:rPr>
      <w:rFonts w:ascii="楷体_GB2312" w:eastAsia="楷体_GB2312" w:hAnsi="楷体_GB2312" w:cs="楷体_GB2312"/>
    </w:rPr>
  </w:style>
  <w:style w:type="paragraph" w:customStyle="1" w:styleId="1">
    <w:name w:val="附件1"/>
    <w:basedOn w:val="a"/>
    <w:qFormat/>
    <w:pPr>
      <w:spacing w:line="560" w:lineRule="exact"/>
      <w:jc w:val="left"/>
    </w:pPr>
    <w:rPr>
      <w:rFonts w:ascii="仿宋_GB2312" w:eastAsia="仿宋_GB2312" w:hAnsi="仿宋_GB2312" w:cs="仿宋_GB2312"/>
      <w:sz w:val="32"/>
      <w:szCs w:val="32"/>
    </w:rPr>
  </w:style>
  <w:style w:type="character" w:customStyle="1" w:styleId="af7">
    <w:name w:val="条文"/>
    <w:basedOn w:val="a0"/>
    <w:qFormat/>
    <w:rPr>
      <w:rFonts w:ascii="黑体" w:eastAsia="黑体" w:hAnsi="黑体" w:cs="黑体"/>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office6\templates\wps\zh_CN\&#20851;&#20110;&#36866;&#29992;&#12298;&#20013;&#21326;&#20154;&#27665;&#20849;&#21644;&#22269;&#20210;&#35009;&#27861;&#12299;&#33509;&#24178;&#38382;&#39064;&#30340;&#35299;&#37322;.wp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关于适用《中华人民共和国仲裁法》若干问题的解释</Template>
  <TotalTime>3</TotalTime>
  <Pages>13</Pages>
  <Words>894</Words>
  <Characters>5099</Characters>
  <Application>Microsoft Office Word</Application>
  <DocSecurity>0</DocSecurity>
  <Lines>42</Lines>
  <Paragraphs>11</Paragraphs>
  <ScaleCrop>false</ScaleCrop>
  <Company/>
  <LinksUpToDate>false</LinksUpToDate>
  <CharactersWithSpaces>5982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麦莫瑞文化传播有限公司</dc:creator>
  <cp:lastModifiedBy>NR04</cp:lastModifiedBy>
  <cp:revision>2</cp:revision>
  <dcterms:created xsi:type="dcterms:W3CDTF">2018-12-27T10:05:00Z</dcterms:created>
  <dcterms:modified xsi:type="dcterms:W3CDTF">2018-12-27T11:57:00Z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2052-10.1.0.7670</vt:lpwstr>
  </property>
</Properties>
</file>