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jc w:val="left"/>
        <w:rPr>
          <w:rFonts w:ascii="仿宋_GB2312" w:hAnsi="宋体" w:eastAsia="仿宋_GB2312" w:cs="宋体"/>
          <w:sz w:val="32"/>
          <w:szCs w:val="32"/>
        </w:rPr>
      </w:pPr>
    </w:p>
    <w:p>
      <w:pPr>
        <w:pStyle w:val="2"/>
        <w:spacing w:line="560" w:lineRule="exact"/>
        <w:ind w:firstLine="640" w:firstLineChars="200"/>
        <w:rPr>
          <w:rFonts w:ascii="仿宋_GB2312" w:hAnsi="宋体" w:eastAsia="仿宋_GB2312" w:cs="宋体"/>
          <w:sz w:val="32"/>
          <w:szCs w:val="32"/>
        </w:rPr>
      </w:pPr>
    </w:p>
    <w:p>
      <w:pPr>
        <w:pStyle w:val="2"/>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cs="宋体" w:asciiTheme="majorEastAsia" w:hAnsiTheme="majorEastAsia" w:eastAsiaTheme="majorEastAsia"/>
          <w:sz w:val="44"/>
          <w:szCs w:val="44"/>
        </w:rPr>
      </w:pPr>
      <w:bookmarkStart w:id="0" w:name="_GoBack"/>
      <w:r>
        <w:rPr>
          <w:rFonts w:hint="eastAsia" w:cs="宋体" w:asciiTheme="majorEastAsia" w:hAnsiTheme="majorEastAsia" w:eastAsiaTheme="majorEastAsia"/>
          <w:sz w:val="44"/>
          <w:szCs w:val="44"/>
        </w:rPr>
        <w:t>最高人民法院</w:t>
      </w:r>
    </w:p>
    <w:p>
      <w:pPr>
        <w:pStyle w:val="2"/>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cs="宋体" w:asciiTheme="majorEastAsia" w:hAnsiTheme="majorEastAsia" w:eastAsiaTheme="majorEastAsia"/>
          <w:sz w:val="44"/>
          <w:szCs w:val="44"/>
        </w:rPr>
      </w:pPr>
      <w:r>
        <w:rPr>
          <w:rFonts w:hint="eastAsia" w:cs="宋体" w:asciiTheme="majorEastAsia" w:hAnsiTheme="majorEastAsia" w:eastAsiaTheme="majorEastAsia"/>
          <w:sz w:val="44"/>
          <w:szCs w:val="44"/>
        </w:rPr>
        <w:t>关于上海金融法院案件管辖的规定</w:t>
      </w:r>
      <w:bookmarkEnd w:id="0"/>
    </w:p>
    <w:p>
      <w:pPr>
        <w:pStyle w:val="2"/>
        <w:spacing w:line="560" w:lineRule="exact"/>
        <w:jc w:val="center"/>
        <w:rPr>
          <w:rFonts w:ascii="仿宋_GB2312" w:hAnsi="仿宋" w:eastAsia="仿宋_GB2312" w:cs="宋体"/>
          <w:sz w:val="32"/>
          <w:szCs w:val="32"/>
        </w:rPr>
      </w:pPr>
    </w:p>
    <w:p>
      <w:pPr>
        <w:pStyle w:val="2"/>
        <w:keepNext w:val="0"/>
        <w:keepLines w:val="0"/>
        <w:pageBreakBefore w:val="0"/>
        <w:widowControl w:val="0"/>
        <w:kinsoku/>
        <w:wordWrap/>
        <w:overflowPunct/>
        <w:topLinePunct w:val="0"/>
        <w:autoSpaceDE/>
        <w:autoSpaceDN/>
        <w:bidi w:val="0"/>
        <w:adjustRightInd/>
        <w:snapToGrid/>
        <w:spacing w:line="560" w:lineRule="exact"/>
        <w:ind w:left="630" w:leftChars="300" w:right="630" w:rightChars="300"/>
        <w:textAlignment w:val="auto"/>
        <w:rPr>
          <w:rFonts w:ascii="楷体_GB2312" w:hAnsi="宋体" w:eastAsia="楷体_GB2312" w:cs="宋体"/>
          <w:sz w:val="32"/>
          <w:szCs w:val="32"/>
        </w:rPr>
      </w:pPr>
      <w:r>
        <w:rPr>
          <w:rFonts w:hint="eastAsia" w:ascii="楷体_GB2312" w:hAnsi="宋体" w:eastAsia="楷体_GB2312" w:cs="宋体"/>
          <w:sz w:val="32"/>
          <w:szCs w:val="32"/>
        </w:rPr>
        <w:t>（2018年7月31日由最高人民法院审判委员会第1746次会议通过，根据2021年3月1日最高人民法院审判委员会第1833次会议通过的《关于修改〈关于上海金融法院案件管辖的规定〉的决定》修正，该修正自2021年4月22日起施行）</w:t>
      </w:r>
    </w:p>
    <w:p>
      <w:pPr>
        <w:pStyle w:val="2"/>
        <w:spacing w:line="560" w:lineRule="exact"/>
        <w:ind w:firstLine="640" w:firstLineChars="200"/>
        <w:rPr>
          <w:rFonts w:ascii="仿宋_GB2312" w:hAnsi="宋体" w:eastAsia="仿宋_GB2312" w:cs="宋体"/>
          <w:sz w:val="32"/>
          <w:szCs w:val="32"/>
        </w:rPr>
      </w:pPr>
    </w:p>
    <w:p>
      <w:pPr>
        <w:pStyle w:val="2"/>
        <w:spacing w:line="560" w:lineRule="exact"/>
        <w:ind w:firstLine="640" w:firstLineChars="200"/>
        <w:rPr>
          <w:rFonts w:ascii="仿宋_GB2312" w:hAnsi="宋体" w:eastAsia="仿宋_GB2312" w:cs="宋体"/>
          <w:sz w:val="32"/>
          <w:szCs w:val="32"/>
        </w:rPr>
      </w:pPr>
      <w:r>
        <w:rPr>
          <w:rFonts w:hint="eastAsia" w:ascii="仿宋_GB2312" w:hAnsi="宋体" w:eastAsia="仿宋_GB2312" w:cs="宋体"/>
          <w:sz w:val="32"/>
          <w:szCs w:val="32"/>
        </w:rPr>
        <w:t>为服务和保障上海国际金融中心建设，进一步明确上海金融法院案件管辖的具体范围，根据《中华人民共和国民事诉讼法》《中华人民共和国行政诉讼法》《全国人民代表大会常务委员会关于设立上海金融法院的决定》等规定，制定本规定。</w:t>
      </w:r>
    </w:p>
    <w:p>
      <w:pPr>
        <w:pStyle w:val="2"/>
        <w:spacing w:line="560" w:lineRule="exact"/>
        <w:ind w:firstLine="640" w:firstLineChars="200"/>
        <w:rPr>
          <w:rFonts w:ascii="仿宋_GB2312" w:hAnsi="宋体" w:eastAsia="仿宋_GB2312" w:cs="宋体"/>
          <w:sz w:val="32"/>
          <w:szCs w:val="32"/>
        </w:rPr>
      </w:pPr>
      <w:r>
        <w:rPr>
          <w:rFonts w:hint="eastAsia" w:ascii="黑体" w:hAnsi="黑体" w:eastAsia="黑体" w:cs="宋体"/>
          <w:sz w:val="32"/>
          <w:szCs w:val="32"/>
        </w:rPr>
        <w:t>第一条　</w:t>
      </w:r>
      <w:r>
        <w:rPr>
          <w:rFonts w:hint="eastAsia" w:ascii="仿宋_GB2312" w:hAnsi="宋体" w:eastAsia="仿宋_GB2312" w:cs="宋体"/>
          <w:sz w:val="32"/>
          <w:szCs w:val="32"/>
        </w:rPr>
        <w:t>上海金融法院管辖上海市辖区内应由中级人民法院受理的下列第一审金融民商事案件：</w:t>
      </w:r>
    </w:p>
    <w:p>
      <w:pPr>
        <w:pStyle w:val="2"/>
        <w:spacing w:line="560" w:lineRule="exact"/>
        <w:ind w:firstLine="640" w:firstLineChars="200"/>
        <w:rPr>
          <w:rFonts w:ascii="仿宋_GB2312" w:hAnsi="宋体" w:eastAsia="仿宋_GB2312" w:cs="宋体"/>
          <w:sz w:val="32"/>
          <w:szCs w:val="32"/>
        </w:rPr>
      </w:pPr>
      <w:r>
        <w:rPr>
          <w:rFonts w:hint="eastAsia" w:ascii="仿宋_GB2312" w:hAnsi="宋体" w:eastAsia="仿宋_GB2312" w:cs="宋体"/>
          <w:sz w:val="32"/>
          <w:szCs w:val="32"/>
        </w:rPr>
        <w:t>（一）证券、期货交易、营业信托、保险、票据、信用证、独立保函、保理、金融借款合同、银行卡、融资租赁合同、委托理财合同、储蓄存款合同、典当、银行结算合同等金融民商事纠纷；</w:t>
      </w:r>
    </w:p>
    <w:p>
      <w:pPr>
        <w:pStyle w:val="2"/>
        <w:spacing w:line="560" w:lineRule="exact"/>
        <w:ind w:firstLine="640" w:firstLineChars="200"/>
        <w:rPr>
          <w:rFonts w:ascii="仿宋_GB2312" w:hAnsi="宋体" w:eastAsia="仿宋_GB2312" w:cs="宋体"/>
          <w:sz w:val="32"/>
          <w:szCs w:val="32"/>
        </w:rPr>
      </w:pPr>
      <w:r>
        <w:rPr>
          <w:rFonts w:hint="eastAsia" w:ascii="仿宋_GB2312" w:hAnsi="宋体" w:eastAsia="仿宋_GB2312" w:cs="宋体"/>
          <w:sz w:val="32"/>
          <w:szCs w:val="32"/>
        </w:rPr>
        <w:t>（二）资产管理业务、资产支持证券业务、私募基金业务、外汇业务、金融产品销售和适当性管理、征信业务、支付业务及经有权机关批准的其他金融业务引发的金融民商事纠纷；</w:t>
      </w:r>
    </w:p>
    <w:p>
      <w:pPr>
        <w:pStyle w:val="2"/>
        <w:spacing w:line="560" w:lineRule="exact"/>
        <w:ind w:firstLine="640" w:firstLineChars="200"/>
        <w:rPr>
          <w:rFonts w:ascii="仿宋_GB2312" w:hAnsi="宋体" w:eastAsia="仿宋_GB2312" w:cs="宋体"/>
          <w:sz w:val="32"/>
          <w:szCs w:val="32"/>
        </w:rPr>
      </w:pPr>
      <w:r>
        <w:rPr>
          <w:rFonts w:hint="eastAsia" w:ascii="仿宋_GB2312" w:hAnsi="宋体" w:eastAsia="仿宋_GB2312" w:cs="宋体"/>
          <w:sz w:val="32"/>
          <w:szCs w:val="32"/>
        </w:rPr>
        <w:t>（三）涉金融机构的与公司有关的纠纷；</w:t>
      </w:r>
    </w:p>
    <w:p>
      <w:pPr>
        <w:pStyle w:val="2"/>
        <w:spacing w:line="560" w:lineRule="exact"/>
        <w:ind w:firstLine="640" w:firstLineChars="200"/>
        <w:rPr>
          <w:rFonts w:ascii="仿宋_GB2312" w:hAnsi="宋体" w:eastAsia="仿宋_GB2312" w:cs="宋体"/>
          <w:sz w:val="32"/>
          <w:szCs w:val="32"/>
        </w:rPr>
      </w:pPr>
      <w:r>
        <w:rPr>
          <w:rFonts w:hint="eastAsia" w:ascii="仿宋_GB2312" w:hAnsi="宋体" w:eastAsia="仿宋_GB2312" w:cs="宋体"/>
          <w:sz w:val="32"/>
          <w:szCs w:val="32"/>
        </w:rPr>
        <w:t>（四）以金融机构为债务人的破产纠纷；</w:t>
      </w:r>
    </w:p>
    <w:p>
      <w:pPr>
        <w:pStyle w:val="2"/>
        <w:spacing w:line="560" w:lineRule="exact"/>
        <w:ind w:firstLine="640" w:firstLineChars="200"/>
        <w:rPr>
          <w:rFonts w:ascii="仿宋_GB2312" w:hAnsi="宋体" w:eastAsia="仿宋_GB2312" w:cs="宋体"/>
          <w:sz w:val="32"/>
          <w:szCs w:val="32"/>
        </w:rPr>
      </w:pPr>
      <w:r>
        <w:rPr>
          <w:rFonts w:hint="eastAsia" w:ascii="仿宋_GB2312" w:hAnsi="宋体" w:eastAsia="仿宋_GB2312" w:cs="宋体"/>
          <w:sz w:val="32"/>
          <w:szCs w:val="32"/>
        </w:rPr>
        <w:t>（五）金融民商事纠纷的仲裁司法审查案件；</w:t>
      </w:r>
    </w:p>
    <w:p>
      <w:pPr>
        <w:pStyle w:val="2"/>
        <w:spacing w:line="560" w:lineRule="exact"/>
        <w:ind w:firstLine="640" w:firstLineChars="200"/>
        <w:rPr>
          <w:rFonts w:ascii="仿宋_GB2312" w:hAnsi="宋体" w:eastAsia="仿宋_GB2312" w:cs="宋体"/>
          <w:sz w:val="32"/>
          <w:szCs w:val="32"/>
        </w:rPr>
      </w:pPr>
      <w:r>
        <w:rPr>
          <w:rFonts w:hint="eastAsia" w:ascii="仿宋_GB2312" w:hAnsi="宋体" w:eastAsia="仿宋_GB2312" w:cs="宋体"/>
          <w:sz w:val="32"/>
          <w:szCs w:val="32"/>
        </w:rPr>
        <w:t>（六）申请认可和执行香港特别行政区、澳门特别行政区、台湾地区法院金融民商事纠纷的判决、裁定案件，以及申请承认和执行外国法院金融民商事纠纷的判决、裁定案件。</w:t>
      </w:r>
    </w:p>
    <w:p>
      <w:pPr>
        <w:pStyle w:val="2"/>
        <w:spacing w:line="560" w:lineRule="exact"/>
        <w:ind w:firstLine="640" w:firstLineChars="200"/>
        <w:rPr>
          <w:rFonts w:ascii="仿宋_GB2312" w:hAnsi="宋体" w:eastAsia="仿宋_GB2312" w:cs="宋体"/>
          <w:sz w:val="32"/>
          <w:szCs w:val="32"/>
        </w:rPr>
      </w:pPr>
      <w:r>
        <w:rPr>
          <w:rFonts w:hint="eastAsia" w:ascii="黑体" w:hAnsi="黑体" w:eastAsia="黑体" w:cs="宋体"/>
          <w:sz w:val="32"/>
          <w:szCs w:val="32"/>
        </w:rPr>
        <w:t>第二条　</w:t>
      </w:r>
      <w:r>
        <w:rPr>
          <w:rFonts w:hint="eastAsia" w:ascii="仿宋_GB2312" w:hAnsi="宋体" w:eastAsia="仿宋_GB2312" w:cs="宋体"/>
          <w:sz w:val="32"/>
          <w:szCs w:val="32"/>
        </w:rPr>
        <w:t>下列金融纠纷案件，由上海金融法院管辖：</w:t>
      </w:r>
    </w:p>
    <w:p>
      <w:pPr>
        <w:pStyle w:val="2"/>
        <w:spacing w:line="560" w:lineRule="exact"/>
        <w:ind w:firstLine="640" w:firstLineChars="200"/>
        <w:rPr>
          <w:rFonts w:ascii="仿宋_GB2312" w:hAnsi="宋体" w:eastAsia="仿宋_GB2312" w:cs="宋体"/>
          <w:sz w:val="32"/>
          <w:szCs w:val="32"/>
        </w:rPr>
      </w:pPr>
      <w:r>
        <w:rPr>
          <w:rFonts w:hint="eastAsia" w:ascii="仿宋_GB2312" w:hAnsi="宋体" w:eastAsia="仿宋_GB2312" w:cs="宋体"/>
          <w:sz w:val="32"/>
          <w:szCs w:val="32"/>
        </w:rPr>
        <w:t>（一）境内投资者以发生在中华人民共和国境外的证券发行、交易活动或者期货交易活动损害其合法权益为由向上海金融法院提起的诉讼；</w:t>
      </w:r>
    </w:p>
    <w:p>
      <w:pPr>
        <w:pStyle w:val="2"/>
        <w:spacing w:line="560" w:lineRule="exact"/>
        <w:ind w:firstLine="640" w:firstLineChars="200"/>
        <w:rPr>
          <w:rFonts w:ascii="仿宋_GB2312" w:hAnsi="宋体" w:eastAsia="仿宋_GB2312" w:cs="宋体"/>
          <w:sz w:val="32"/>
          <w:szCs w:val="32"/>
        </w:rPr>
      </w:pPr>
      <w:r>
        <w:rPr>
          <w:rFonts w:hint="eastAsia" w:ascii="仿宋_GB2312" w:hAnsi="宋体" w:eastAsia="仿宋_GB2312" w:cs="宋体"/>
          <w:sz w:val="32"/>
          <w:szCs w:val="32"/>
        </w:rPr>
        <w:t>（二）境内个人或者机构以中华人民共和国境外金融机构销售的金融产品或者提供的金融服务损害其合法权益为由向上海金融法院提起的诉讼。</w:t>
      </w:r>
    </w:p>
    <w:p>
      <w:pPr>
        <w:pStyle w:val="2"/>
        <w:spacing w:line="560" w:lineRule="exact"/>
        <w:ind w:firstLine="640" w:firstLineChars="200"/>
        <w:rPr>
          <w:rFonts w:ascii="仿宋_GB2312" w:hAnsi="宋体" w:eastAsia="仿宋_GB2312" w:cs="宋体"/>
          <w:sz w:val="32"/>
          <w:szCs w:val="32"/>
        </w:rPr>
      </w:pPr>
      <w:r>
        <w:rPr>
          <w:rFonts w:hint="eastAsia" w:ascii="黑体" w:hAnsi="黑体" w:eastAsia="黑体" w:cs="宋体"/>
          <w:sz w:val="32"/>
          <w:szCs w:val="32"/>
        </w:rPr>
        <w:t>第三条　</w:t>
      </w:r>
      <w:r>
        <w:rPr>
          <w:rFonts w:hint="eastAsia" w:ascii="仿宋_GB2312" w:hAnsi="宋体" w:eastAsia="仿宋_GB2312" w:cs="宋体"/>
          <w:sz w:val="32"/>
          <w:szCs w:val="32"/>
        </w:rPr>
        <w:t>在上海证券交易所科创板上市公司的证券发行纠纷、证券承销合同纠纷、证券上市保荐合同纠纷、证券上市合同纠纷和证券欺诈责任纠纷等第一审民商事案件，由上海金融法院管辖。</w:t>
      </w:r>
    </w:p>
    <w:p>
      <w:pPr>
        <w:pStyle w:val="2"/>
        <w:spacing w:line="560" w:lineRule="exact"/>
        <w:ind w:firstLine="640" w:firstLineChars="200"/>
        <w:rPr>
          <w:rFonts w:ascii="仿宋_GB2312" w:hAnsi="宋体" w:eastAsia="仿宋_GB2312" w:cs="宋体"/>
          <w:sz w:val="32"/>
          <w:szCs w:val="32"/>
        </w:rPr>
      </w:pPr>
      <w:r>
        <w:rPr>
          <w:rFonts w:hint="eastAsia" w:ascii="黑体" w:hAnsi="黑体" w:eastAsia="黑体" w:cs="宋体"/>
          <w:sz w:val="32"/>
          <w:szCs w:val="32"/>
        </w:rPr>
        <w:t>第四条　</w:t>
      </w:r>
      <w:r>
        <w:rPr>
          <w:rFonts w:hint="eastAsia" w:ascii="仿宋_GB2312" w:hAnsi="宋体" w:eastAsia="仿宋_GB2312" w:cs="宋体"/>
          <w:sz w:val="32"/>
          <w:szCs w:val="32"/>
        </w:rPr>
        <w:t>以上海证券交易所为被告或者第三人的与证券交易所监管职能相关的第一审金融民商事和涉金融行政案件，由上海金融法院管辖。</w:t>
      </w:r>
    </w:p>
    <w:p>
      <w:pPr>
        <w:pStyle w:val="2"/>
        <w:spacing w:line="560" w:lineRule="exact"/>
        <w:ind w:firstLine="640" w:firstLineChars="200"/>
        <w:rPr>
          <w:rFonts w:ascii="仿宋_GB2312" w:hAnsi="宋体" w:eastAsia="仿宋_GB2312" w:cs="宋体"/>
          <w:sz w:val="32"/>
          <w:szCs w:val="32"/>
        </w:rPr>
      </w:pPr>
      <w:r>
        <w:rPr>
          <w:rFonts w:hint="eastAsia" w:ascii="黑体" w:hAnsi="黑体" w:eastAsia="黑体" w:cs="宋体"/>
          <w:sz w:val="32"/>
          <w:szCs w:val="32"/>
        </w:rPr>
        <w:t>第五条　</w:t>
      </w:r>
      <w:r>
        <w:rPr>
          <w:rFonts w:hint="eastAsia" w:ascii="仿宋_GB2312" w:hAnsi="宋体" w:eastAsia="仿宋_GB2312" w:cs="宋体"/>
          <w:sz w:val="32"/>
          <w:szCs w:val="32"/>
        </w:rPr>
        <w:t>以住所地在上海市并依法设立的金融基础设施机构为被告或者第三人的与其履行职责相关的第一审金融民商事案件，由上海金融法院管辖。</w:t>
      </w:r>
    </w:p>
    <w:p>
      <w:pPr>
        <w:pStyle w:val="2"/>
        <w:spacing w:line="560" w:lineRule="exact"/>
        <w:ind w:firstLine="640" w:firstLineChars="200"/>
        <w:rPr>
          <w:rFonts w:ascii="仿宋_GB2312" w:hAnsi="宋体" w:eastAsia="仿宋_GB2312" w:cs="宋体"/>
          <w:sz w:val="32"/>
          <w:szCs w:val="32"/>
        </w:rPr>
      </w:pPr>
      <w:r>
        <w:rPr>
          <w:rFonts w:hint="eastAsia" w:ascii="黑体" w:hAnsi="黑体" w:eastAsia="黑体" w:cs="宋体"/>
          <w:sz w:val="32"/>
          <w:szCs w:val="32"/>
        </w:rPr>
        <w:t>第六条　</w:t>
      </w:r>
      <w:r>
        <w:rPr>
          <w:rFonts w:hint="eastAsia" w:ascii="仿宋_GB2312" w:hAnsi="宋体" w:eastAsia="仿宋_GB2312" w:cs="宋体"/>
          <w:sz w:val="32"/>
          <w:szCs w:val="32"/>
        </w:rPr>
        <w:t>上海市辖区内应由中级人民法院受理的对金融监管机构以及法律、法规、规章授权的组织因履行金融监管职责作出的行政行为不服提起诉讼的第一审涉金融行政案件，由上海金融法院管辖。</w:t>
      </w:r>
    </w:p>
    <w:p>
      <w:pPr>
        <w:pStyle w:val="2"/>
        <w:spacing w:line="560" w:lineRule="exact"/>
        <w:ind w:firstLine="640" w:firstLineChars="200"/>
        <w:rPr>
          <w:rFonts w:ascii="仿宋_GB2312" w:hAnsi="宋体" w:eastAsia="仿宋_GB2312" w:cs="宋体"/>
          <w:sz w:val="32"/>
          <w:szCs w:val="32"/>
        </w:rPr>
      </w:pPr>
      <w:r>
        <w:rPr>
          <w:rFonts w:hint="eastAsia" w:ascii="黑体" w:hAnsi="黑体" w:eastAsia="黑体" w:cs="宋体"/>
          <w:sz w:val="32"/>
          <w:szCs w:val="32"/>
        </w:rPr>
        <w:t>第七条　</w:t>
      </w:r>
      <w:r>
        <w:rPr>
          <w:rFonts w:hint="eastAsia" w:ascii="仿宋_GB2312" w:hAnsi="宋体" w:eastAsia="仿宋_GB2312" w:cs="宋体"/>
          <w:sz w:val="32"/>
          <w:szCs w:val="32"/>
        </w:rPr>
        <w:t>当事人对上海市基层人民法院作出的涉及本规定第一条第一至三项的第一审金融民商事案件和涉金融行政案件判决、裁定提起的上诉案件和申请再审案件，由上海金融法院审理。</w:t>
      </w:r>
    </w:p>
    <w:p>
      <w:pPr>
        <w:pStyle w:val="2"/>
        <w:spacing w:line="560" w:lineRule="exact"/>
        <w:ind w:firstLine="640" w:firstLineChars="200"/>
        <w:rPr>
          <w:rFonts w:ascii="仿宋_GB2312" w:hAnsi="宋体" w:eastAsia="仿宋_GB2312" w:cs="宋体"/>
          <w:sz w:val="32"/>
          <w:szCs w:val="32"/>
        </w:rPr>
      </w:pPr>
      <w:r>
        <w:rPr>
          <w:rFonts w:hint="eastAsia" w:ascii="黑体" w:hAnsi="黑体" w:eastAsia="黑体" w:cs="宋体"/>
          <w:sz w:val="32"/>
          <w:szCs w:val="32"/>
        </w:rPr>
        <w:t>第八条　</w:t>
      </w:r>
      <w:r>
        <w:rPr>
          <w:rFonts w:hint="eastAsia" w:ascii="仿宋_GB2312" w:hAnsi="宋体" w:eastAsia="仿宋_GB2312" w:cs="宋体"/>
          <w:sz w:val="32"/>
          <w:szCs w:val="32"/>
        </w:rPr>
        <w:t>上海市辖区内应由中级人民法院受理的金融民商事案件、涉金融行政案件的再审案件，由上海金融法院审理。</w:t>
      </w:r>
    </w:p>
    <w:p>
      <w:pPr>
        <w:pStyle w:val="2"/>
        <w:spacing w:line="560" w:lineRule="exact"/>
        <w:ind w:firstLine="640" w:firstLineChars="200"/>
        <w:rPr>
          <w:rFonts w:ascii="仿宋_GB2312" w:hAnsi="宋体" w:eastAsia="仿宋_GB2312" w:cs="宋体"/>
          <w:sz w:val="32"/>
          <w:szCs w:val="32"/>
        </w:rPr>
      </w:pPr>
      <w:r>
        <w:rPr>
          <w:rFonts w:hint="eastAsia" w:ascii="黑体" w:hAnsi="黑体" w:eastAsia="黑体" w:cs="宋体"/>
          <w:sz w:val="32"/>
          <w:szCs w:val="32"/>
        </w:rPr>
        <w:t>第九条　</w:t>
      </w:r>
      <w:r>
        <w:rPr>
          <w:rFonts w:hint="eastAsia" w:ascii="仿宋_GB2312" w:hAnsi="宋体" w:eastAsia="仿宋_GB2312" w:cs="宋体"/>
          <w:sz w:val="32"/>
          <w:szCs w:val="32"/>
        </w:rPr>
        <w:t>上海金融法院作出的第一审民商事案件和涉金融行政案件生效裁判，以及上海市辖区内应由中级人民法院执行的涉金融民商事纠纷的仲裁裁决，由上海金融法院执行。</w:t>
      </w:r>
    </w:p>
    <w:p>
      <w:pPr>
        <w:pStyle w:val="2"/>
        <w:spacing w:line="560" w:lineRule="exact"/>
        <w:ind w:firstLine="640" w:firstLineChars="200"/>
        <w:rPr>
          <w:rFonts w:ascii="仿宋_GB2312" w:hAnsi="宋体" w:eastAsia="仿宋_GB2312" w:cs="宋体"/>
          <w:sz w:val="32"/>
          <w:szCs w:val="32"/>
        </w:rPr>
      </w:pPr>
      <w:r>
        <w:rPr>
          <w:rFonts w:hint="eastAsia" w:ascii="仿宋_GB2312" w:hAnsi="宋体" w:eastAsia="仿宋_GB2312" w:cs="宋体"/>
          <w:sz w:val="32"/>
          <w:szCs w:val="32"/>
        </w:rPr>
        <w:t>上海金融法院执行过程中发生的执行异议案件、执行异议之诉案件，以及上海市基层人民法院涉金融案件执行过程中发生的执行复议案件、执行异议之诉上诉案件，由上海金融法院审理。</w:t>
      </w:r>
    </w:p>
    <w:p>
      <w:pPr>
        <w:pStyle w:val="2"/>
        <w:spacing w:line="560" w:lineRule="exact"/>
        <w:ind w:firstLine="640" w:firstLineChars="200"/>
        <w:rPr>
          <w:rFonts w:ascii="仿宋_GB2312" w:hAnsi="宋体" w:eastAsia="仿宋_GB2312" w:cs="宋体"/>
          <w:sz w:val="32"/>
          <w:szCs w:val="32"/>
        </w:rPr>
      </w:pPr>
      <w:r>
        <w:rPr>
          <w:rFonts w:hint="eastAsia" w:ascii="黑体" w:hAnsi="黑体" w:eastAsia="黑体" w:cs="宋体"/>
          <w:sz w:val="32"/>
          <w:szCs w:val="32"/>
        </w:rPr>
        <w:t>第十条　</w:t>
      </w:r>
      <w:r>
        <w:rPr>
          <w:rFonts w:hint="eastAsia" w:ascii="仿宋_GB2312" w:hAnsi="宋体" w:eastAsia="仿宋_GB2312" w:cs="宋体"/>
          <w:sz w:val="32"/>
          <w:szCs w:val="32"/>
        </w:rPr>
        <w:t>当事人对上海金融法院作出的第一审判决、裁定提起的上诉案件，由上海市高级人民法院审理。</w:t>
      </w:r>
    </w:p>
    <w:p>
      <w:pPr>
        <w:pStyle w:val="2"/>
        <w:spacing w:line="560" w:lineRule="exact"/>
        <w:ind w:firstLine="640" w:firstLineChars="200"/>
        <w:rPr>
          <w:rFonts w:ascii="仿宋_GB2312" w:hAnsi="宋体" w:eastAsia="仿宋_GB2312" w:cs="宋体"/>
          <w:sz w:val="32"/>
          <w:szCs w:val="32"/>
        </w:rPr>
      </w:pPr>
      <w:r>
        <w:rPr>
          <w:rFonts w:hint="eastAsia" w:ascii="黑体" w:hAnsi="黑体" w:eastAsia="黑体" w:cs="宋体"/>
          <w:sz w:val="32"/>
          <w:szCs w:val="32"/>
        </w:rPr>
        <w:t>第十一条　</w:t>
      </w:r>
      <w:r>
        <w:rPr>
          <w:rFonts w:hint="eastAsia" w:ascii="仿宋_GB2312" w:hAnsi="宋体" w:eastAsia="仿宋_GB2312" w:cs="宋体"/>
          <w:sz w:val="32"/>
          <w:szCs w:val="32"/>
        </w:rPr>
        <w:t>上海市各中级人民法院在上海金融法院成立前已经受理但尚未审结的金融民商事案件和涉金融行政案件，由该中级人民法院继续审理。</w:t>
      </w:r>
    </w:p>
    <w:p>
      <w:pPr>
        <w:pStyle w:val="2"/>
        <w:spacing w:line="560" w:lineRule="exact"/>
        <w:ind w:firstLine="640" w:firstLineChars="200"/>
        <w:rPr>
          <w:rFonts w:ascii="仿宋_GB2312" w:hAnsi="宋体" w:eastAsia="仿宋_GB2312" w:cs="宋体"/>
          <w:sz w:val="32"/>
          <w:szCs w:val="32"/>
        </w:rPr>
      </w:pPr>
      <w:r>
        <w:rPr>
          <w:rFonts w:hint="eastAsia" w:ascii="黑体" w:hAnsi="黑体" w:eastAsia="黑体" w:cs="宋体"/>
          <w:sz w:val="32"/>
          <w:szCs w:val="32"/>
        </w:rPr>
        <w:t>第十二条　</w:t>
      </w:r>
      <w:r>
        <w:rPr>
          <w:rFonts w:hint="eastAsia" w:ascii="仿宋_GB2312" w:hAnsi="宋体" w:eastAsia="仿宋_GB2312" w:cs="宋体"/>
          <w:sz w:val="32"/>
          <w:szCs w:val="32"/>
        </w:rPr>
        <w:t>本规定自2018年8月10日起施行。</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02C6BFC"/>
    <w:rsid w:val="502C6BF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Plain Text"/>
    <w:basedOn w:val="1"/>
    <w:qFormat/>
    <w:uiPriority w:val="99"/>
    <w:rPr>
      <w:rFonts w:ascii="宋体" w:hAnsi="Courier New" w:cs="Courier New"/>
      <w:szCs w:val="21"/>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Office_11.1.0.10700_F1E327BC-269C-435d-A152-05C5408002CA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2021-08-31T10:06:00Z</dcterms:created>
  <dc:creator>爱思思</dc:creator>
  <cp:lastModifiedBy>爱思思</cp:lastModifiedBy>
  <dcterms:modified xsi:type="dcterms:W3CDTF">2021-08-31T10:06:56Z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2052-11.1.0.10700</vt:lpwstr>
  </property>
  <property fmtid="{D5CDD505-2E9C-101B-9397-08002B2CF9AE}" pid="3" name="ICV">
    <vt:lpwstr>4E996FD9F0AC4DAE84040F0D6CFADA0C</vt:lpwstr>
  </property>
</Properties>
</file>