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autoSpaceDE/>
        <w:autoSpaceDN/>
        <w:bidi w:val="0"/>
        <w:adjustRightInd/>
        <w:snapToGrid/>
        <w:spacing w:line="240" w:lineRule="auto"/>
        <w:textAlignment w:val="auto"/>
        <w:rPr>
          <w:rFonts w:hint="eastAsia" w:ascii="宋体" w:hAnsi="宋体" w:eastAsia="宋体" w:cs="Arial"/>
          <w:kern w:val="0"/>
          <w:szCs w:val="32"/>
        </w:rPr>
      </w:pPr>
    </w:p>
    <w:p>
      <w:pPr>
        <w:keepNext w:val="0"/>
        <w:keepLines w:val="0"/>
        <w:pageBreakBefore w:val="0"/>
        <w:widowControl w:val="0"/>
        <w:kinsoku/>
        <w:wordWrap/>
        <w:overflowPunct/>
        <w:autoSpaceDE/>
        <w:autoSpaceDN/>
        <w:bidi w:val="0"/>
        <w:adjustRightInd/>
        <w:snapToGrid/>
        <w:spacing w:line="240" w:lineRule="auto"/>
        <w:textAlignment w:val="auto"/>
        <w:rPr>
          <w:rFonts w:hint="eastAsia" w:ascii="宋体" w:hAnsi="宋体" w:eastAsia="宋体" w:cs="Arial"/>
          <w:kern w:val="0"/>
          <w:szCs w:val="32"/>
        </w:rPr>
      </w:pPr>
    </w:p>
    <w:p>
      <w:pPr>
        <w:pStyle w:val="2"/>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eastAsia="宋体" w:cs="Arial"/>
          <w:bCs/>
          <w:sz w:val="44"/>
          <w:szCs w:val="44"/>
        </w:rPr>
      </w:pPr>
      <w:r>
        <w:rPr>
          <w:rFonts w:hint="eastAsia" w:ascii="宋体" w:hAnsi="宋体" w:eastAsia="宋体" w:cs="Arial"/>
          <w:bCs/>
          <w:sz w:val="44"/>
          <w:szCs w:val="44"/>
        </w:rPr>
        <w:t>云南省孟连傣族拉祜族佤族自治县</w:t>
      </w:r>
    </w:p>
    <w:p>
      <w:pPr>
        <w:pStyle w:val="2"/>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eastAsia="宋体" w:cs="Arial"/>
          <w:bCs/>
          <w:sz w:val="44"/>
          <w:szCs w:val="44"/>
        </w:rPr>
      </w:pPr>
      <w:r>
        <w:rPr>
          <w:rFonts w:hint="eastAsia" w:ascii="宋体" w:hAnsi="宋体" w:eastAsia="宋体" w:cs="Arial"/>
          <w:bCs/>
          <w:sz w:val="44"/>
          <w:szCs w:val="44"/>
        </w:rPr>
        <w:t>南垒河流域保护条例</w:t>
      </w:r>
    </w:p>
    <w:p>
      <w:pPr>
        <w:keepNext w:val="0"/>
        <w:keepLines w:val="0"/>
        <w:pageBreakBefore w:val="0"/>
        <w:widowControl w:val="0"/>
        <w:kinsoku/>
        <w:wordWrap/>
        <w:overflowPunct/>
        <w:autoSpaceDE/>
        <w:autoSpaceDN/>
        <w:bidi w:val="0"/>
        <w:adjustRightInd/>
        <w:snapToGrid/>
        <w:spacing w:line="240" w:lineRule="auto"/>
        <w:ind w:right="632" w:rightChars="200"/>
        <w:textAlignment w:val="auto"/>
        <w:rPr>
          <w:rFonts w:ascii="宋体" w:hAnsi="宋体" w:eastAsia="宋体" w:cs="Arial"/>
          <w:bCs/>
          <w:szCs w:val="32"/>
        </w:rPr>
      </w:pPr>
      <w:bookmarkStart w:id="0" w:name="AddRun"/>
    </w:p>
    <w:bookmarkEnd w:id="0"/>
    <w:p>
      <w:pPr>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textAlignment w:val="auto"/>
        <w:rPr>
          <w:rFonts w:hint="eastAsia" w:ascii="宋体" w:hAnsi="宋体" w:eastAsia="宋体" w:cs="Arial"/>
          <w:bCs/>
          <w:szCs w:val="32"/>
        </w:rPr>
      </w:pPr>
      <w:r>
        <w:rPr>
          <w:rFonts w:hint="eastAsia" w:ascii="楷体_GB2312" w:hAnsi="Arial" w:eastAsia="楷体_GB2312" w:cs="Arial"/>
          <w:szCs w:val="32"/>
        </w:rPr>
        <w:t>（</w:t>
      </w:r>
      <w:r>
        <w:rPr>
          <w:rFonts w:hint="default" w:ascii="Times New Roman" w:hAnsi="Times New Roman" w:eastAsia="楷体_GB2312" w:cs="Times New Roman"/>
          <w:szCs w:val="32"/>
        </w:rPr>
        <w:t>2021年2月26</w:t>
      </w:r>
      <w:bookmarkStart w:id="1" w:name="_GoBack"/>
      <w:bookmarkEnd w:id="1"/>
      <w:r>
        <w:rPr>
          <w:rFonts w:hint="default" w:ascii="Times New Roman" w:hAnsi="Times New Roman" w:eastAsia="楷体_GB2312" w:cs="Times New Roman"/>
          <w:szCs w:val="32"/>
        </w:rPr>
        <w:t>日云南省孟连傣族拉祜族佤族自治县第十五届人民代表大会第五次会议通过　2021年5月28</w:t>
      </w:r>
      <w:r>
        <w:rPr>
          <w:rFonts w:hint="eastAsia" w:ascii="楷体_GB2312" w:hAnsi="Arial" w:eastAsia="楷体_GB2312" w:cs="Arial"/>
          <w:szCs w:val="32"/>
        </w:rPr>
        <w:t>日云南省第十三届人民代表大会常务委员会第二十四次会议批准）</w:t>
      </w:r>
    </w:p>
    <w:p>
      <w:pPr>
        <w:keepNext w:val="0"/>
        <w:keepLines w:val="0"/>
        <w:pageBreakBefore w:val="0"/>
        <w:widowControl w:val="0"/>
        <w:kinsoku/>
        <w:wordWrap/>
        <w:overflowPunct/>
        <w:autoSpaceDE/>
        <w:autoSpaceDN/>
        <w:bidi w:val="0"/>
        <w:adjustRightInd/>
        <w:snapToGrid/>
        <w:spacing w:line="240" w:lineRule="auto"/>
        <w:ind w:firstLine="0"/>
        <w:jc w:val="both"/>
        <w:textAlignment w:val="auto"/>
        <w:rPr>
          <w:rFonts w:hint="eastAsia" w:ascii="宋体" w:hAnsi="宋体" w:eastAsia="宋体" w:cs="宋体"/>
        </w:rPr>
      </w:pPr>
    </w:p>
    <w:p>
      <w:pPr>
        <w:keepNext w:val="0"/>
        <w:keepLines w:val="0"/>
        <w:pageBreakBefore w:val="0"/>
        <w:widowControl w:val="0"/>
        <w:kinsoku/>
        <w:wordWrap/>
        <w:overflowPunct/>
        <w:autoSpaceDE/>
        <w:autoSpaceDN/>
        <w:bidi w:val="0"/>
        <w:adjustRightInd/>
        <w:snapToGrid/>
        <w:spacing w:line="240" w:lineRule="auto"/>
        <w:ind w:firstLine="0"/>
        <w:jc w:val="center"/>
        <w:textAlignment w:val="auto"/>
      </w:pPr>
      <w:r>
        <w:rPr>
          <w:rFonts w:ascii="楷体_GB2312" w:hAnsi="楷体_GB2312" w:eastAsia="楷体_GB2312" w:cs="楷体_GB2312"/>
          <w:sz w:val="32"/>
        </w:rPr>
        <w:t>目　　录</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jc w:val="both"/>
        <w:textAlignment w:val="auto"/>
      </w:pPr>
      <w:r>
        <w:rPr>
          <w:rFonts w:ascii="楷体_GB2312" w:hAnsi="楷体_GB2312" w:eastAsia="楷体_GB2312" w:cs="楷体_GB2312"/>
          <w:sz w:val="32"/>
        </w:rPr>
        <w:t>第一章　总　　则</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楷体_GB2312"/>
          <w:snapToGrid w:val="0"/>
          <w:color w:val="000000"/>
          <w:sz w:val="32"/>
          <w:szCs w:val="32"/>
        </w:rPr>
      </w:pPr>
      <w:r>
        <w:rPr>
          <w:rFonts w:hint="eastAsia" w:ascii="宋体" w:hAnsi="宋体" w:eastAsia="楷体_GB2312"/>
          <w:snapToGrid w:val="0"/>
          <w:color w:val="000000"/>
          <w:sz w:val="32"/>
          <w:szCs w:val="32"/>
        </w:rPr>
        <w:t>第二章</w:t>
      </w:r>
      <w:r>
        <w:rPr>
          <w:rFonts w:ascii="楷体_GB2312" w:hAnsi="楷体_GB2312" w:eastAsia="楷体_GB2312" w:cs="楷体_GB2312"/>
          <w:sz w:val="32"/>
        </w:rPr>
        <w:t>　</w:t>
      </w:r>
      <w:r>
        <w:rPr>
          <w:rFonts w:hint="eastAsia" w:ascii="宋体" w:hAnsi="宋体" w:eastAsia="楷体_GB2312"/>
          <w:snapToGrid w:val="0"/>
          <w:color w:val="000000"/>
          <w:sz w:val="32"/>
          <w:szCs w:val="32"/>
        </w:rPr>
        <w:t>保护管理职责</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楷体_GB2312"/>
          <w:snapToGrid w:val="0"/>
          <w:color w:val="000000"/>
          <w:sz w:val="32"/>
          <w:szCs w:val="32"/>
        </w:rPr>
      </w:pPr>
      <w:r>
        <w:rPr>
          <w:rFonts w:hint="eastAsia" w:ascii="宋体" w:hAnsi="宋体" w:eastAsia="楷体_GB2312"/>
          <w:snapToGrid w:val="0"/>
          <w:color w:val="000000"/>
          <w:sz w:val="32"/>
          <w:szCs w:val="32"/>
        </w:rPr>
        <w:t>第三章</w:t>
      </w:r>
      <w:r>
        <w:rPr>
          <w:rFonts w:ascii="楷体_GB2312" w:hAnsi="楷体_GB2312" w:eastAsia="楷体_GB2312" w:cs="楷体_GB2312"/>
          <w:sz w:val="32"/>
        </w:rPr>
        <w:t>　</w:t>
      </w:r>
      <w:r>
        <w:rPr>
          <w:rFonts w:hint="eastAsia" w:ascii="宋体" w:hAnsi="宋体" w:eastAsia="楷体_GB2312"/>
          <w:snapToGrid w:val="0"/>
          <w:color w:val="000000"/>
          <w:sz w:val="32"/>
          <w:szCs w:val="32"/>
        </w:rPr>
        <w:t>保护与开发利用</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楷体_GB2312"/>
          <w:snapToGrid w:val="0"/>
          <w:color w:val="000000"/>
          <w:sz w:val="32"/>
          <w:szCs w:val="32"/>
        </w:rPr>
      </w:pPr>
      <w:r>
        <w:rPr>
          <w:rFonts w:hint="eastAsia" w:ascii="宋体" w:hAnsi="宋体" w:eastAsia="楷体_GB2312"/>
          <w:snapToGrid w:val="0"/>
          <w:color w:val="000000"/>
          <w:sz w:val="32"/>
          <w:szCs w:val="32"/>
        </w:rPr>
        <w:t>第四章</w:t>
      </w:r>
      <w:r>
        <w:rPr>
          <w:rFonts w:ascii="楷体_GB2312" w:hAnsi="楷体_GB2312" w:eastAsia="楷体_GB2312" w:cs="楷体_GB2312"/>
          <w:sz w:val="32"/>
        </w:rPr>
        <w:t>　</w:t>
      </w:r>
      <w:r>
        <w:rPr>
          <w:rFonts w:hint="eastAsia" w:ascii="宋体" w:hAnsi="宋体" w:eastAsia="楷体_GB2312"/>
          <w:snapToGrid w:val="0"/>
          <w:color w:val="000000"/>
          <w:sz w:val="32"/>
          <w:szCs w:val="32"/>
        </w:rPr>
        <w:t>法律责任</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pPr>
      <w:r>
        <w:rPr>
          <w:rFonts w:hint="eastAsia" w:ascii="宋体" w:hAnsi="宋体" w:eastAsia="楷体_GB2312"/>
          <w:snapToGrid w:val="0"/>
          <w:color w:val="000000"/>
          <w:sz w:val="32"/>
          <w:szCs w:val="32"/>
        </w:rPr>
        <w:t>第五章</w:t>
      </w:r>
      <w:r>
        <w:rPr>
          <w:rFonts w:ascii="楷体_GB2312" w:hAnsi="楷体_GB2312" w:eastAsia="楷体_GB2312" w:cs="楷体_GB2312"/>
          <w:sz w:val="32"/>
        </w:rPr>
        <w:t>　</w:t>
      </w:r>
      <w:r>
        <w:rPr>
          <w:rFonts w:hint="eastAsia" w:ascii="宋体" w:hAnsi="宋体" w:eastAsia="楷体_GB2312"/>
          <w:snapToGrid w:val="0"/>
          <w:color w:val="000000"/>
          <w:sz w:val="32"/>
          <w:szCs w:val="32"/>
        </w:rPr>
        <w:t>附</w:t>
      </w:r>
      <w:r>
        <w:rPr>
          <w:rFonts w:ascii="楷体_GB2312" w:hAnsi="楷体_GB2312" w:eastAsia="楷体_GB2312" w:cs="楷体_GB2312"/>
          <w:sz w:val="32"/>
        </w:rPr>
        <w:t>　　</w:t>
      </w:r>
      <w:r>
        <w:rPr>
          <w:rFonts w:hint="eastAsia" w:ascii="宋体" w:hAnsi="宋体" w:eastAsia="楷体_GB2312"/>
          <w:snapToGrid w:val="0"/>
          <w:color w:val="000000"/>
          <w:sz w:val="32"/>
          <w:szCs w:val="32"/>
        </w:rPr>
        <w:t>则</w:t>
      </w:r>
    </w:p>
    <w:p>
      <w:pPr>
        <w:keepNext w:val="0"/>
        <w:keepLines w:val="0"/>
        <w:pageBreakBefore w:val="0"/>
        <w:widowControl w:val="0"/>
        <w:kinsoku/>
        <w:wordWrap/>
        <w:overflowPunct/>
        <w:autoSpaceDE/>
        <w:autoSpaceDN/>
        <w:bidi w:val="0"/>
        <w:adjustRightInd/>
        <w:snapToGrid/>
        <w:spacing w:line="240" w:lineRule="auto"/>
        <w:ind w:firstLine="0"/>
        <w:jc w:val="both"/>
        <w:textAlignment w:val="auto"/>
        <w:rPr>
          <w:rFonts w:hint="eastAsia" w:ascii="宋体" w:hAnsi="宋体" w:eastAsia="宋体" w:cs="宋体"/>
        </w:rPr>
      </w:pPr>
    </w:p>
    <w:p>
      <w:pPr>
        <w:keepNext w:val="0"/>
        <w:keepLines w:val="0"/>
        <w:pageBreakBefore w:val="0"/>
        <w:widowControl w:val="0"/>
        <w:kinsoku/>
        <w:wordWrap/>
        <w:overflowPunct/>
        <w:autoSpaceDE/>
        <w:autoSpaceDN/>
        <w:bidi w:val="0"/>
        <w:adjustRightInd/>
        <w:snapToGrid/>
        <w:spacing w:line="240" w:lineRule="auto"/>
        <w:ind w:firstLine="0"/>
        <w:jc w:val="center"/>
        <w:textAlignment w:val="auto"/>
      </w:pPr>
      <w:r>
        <w:rPr>
          <w:rFonts w:ascii="黑体" w:hAnsi="黑体" w:eastAsia="黑体" w:cs="黑体"/>
          <w:sz w:val="32"/>
        </w:rPr>
        <w:t>第一章　总</w:t>
      </w:r>
      <w:r>
        <w:rPr>
          <w:rFonts w:ascii="楷体_GB2312" w:hAnsi="楷体_GB2312" w:eastAsia="楷体_GB2312" w:cs="楷体_GB2312"/>
          <w:sz w:val="32"/>
        </w:rPr>
        <w:t>　　</w:t>
      </w:r>
      <w:r>
        <w:rPr>
          <w:rFonts w:ascii="黑体" w:hAnsi="黑体" w:eastAsia="黑体" w:cs="黑体"/>
          <w:sz w:val="32"/>
        </w:rPr>
        <w:t>则</w:t>
      </w:r>
    </w:p>
    <w:p>
      <w:pPr>
        <w:keepNext w:val="0"/>
        <w:keepLines w:val="0"/>
        <w:pageBreakBefore w:val="0"/>
        <w:widowControl w:val="0"/>
        <w:kinsoku/>
        <w:wordWrap/>
        <w:overflowPunct/>
        <w:autoSpaceDE/>
        <w:autoSpaceDN/>
        <w:bidi w:val="0"/>
        <w:adjustRightInd/>
        <w:snapToGrid/>
        <w:spacing w:line="240" w:lineRule="auto"/>
        <w:ind w:firstLine="0"/>
        <w:jc w:val="center"/>
        <w:textAlignment w:val="auto"/>
        <w:rPr>
          <w:rFonts w:hint="eastAsia" w:ascii="宋体" w:hAnsi="宋体" w:eastAsia="宋体" w:cs="宋体"/>
        </w:rPr>
      </w:pP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第一条</w:t>
      </w:r>
      <w:r>
        <w:rPr>
          <w:rFonts w:ascii="黑体" w:hAnsi="黑体" w:eastAsia="黑体" w:cs="黑体"/>
          <w:sz w:val="32"/>
        </w:rPr>
        <w:t>　</w:t>
      </w:r>
      <w:r>
        <w:rPr>
          <w:rFonts w:hint="eastAsia" w:ascii="宋体" w:hAnsi="宋体" w:eastAsia="仿宋_GB2312"/>
          <w:color w:val="000000"/>
          <w:sz w:val="32"/>
          <w:szCs w:val="32"/>
        </w:rPr>
        <w:t>为了加强南垒河流域保护，规范流域开发、利用、治理等活动，改善流域生态环境，促进可持续发展，根据《中华人民共和国水法》、《中华人民共和国水污染防治法》等有关法律法规，结合孟连傣族拉祜族佤族自治县（以下简称自治县）实际，制定本条例。</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第二条</w:t>
      </w:r>
      <w:r>
        <w:rPr>
          <w:rFonts w:hint="eastAsia" w:ascii="宋体" w:hAnsi="宋体"/>
          <w:color w:val="000000"/>
          <w:sz w:val="32"/>
          <w:szCs w:val="32"/>
          <w:lang w:eastAsia="zh-CN"/>
        </w:rPr>
        <w:t>　</w:t>
      </w:r>
      <w:r>
        <w:rPr>
          <w:rFonts w:hint="eastAsia" w:ascii="宋体" w:hAnsi="宋体" w:eastAsia="仿宋_GB2312"/>
          <w:color w:val="000000"/>
          <w:sz w:val="32"/>
          <w:szCs w:val="32"/>
        </w:rPr>
        <w:t>本条例所称的南垒河流域，是指自治县境内南垒河干流和主要支流汇水面积内的水域和陆域，总面积</w:t>
      </w:r>
      <w:r>
        <w:rPr>
          <w:rFonts w:hint="default" w:ascii="Times New Roman" w:hAnsi="Times New Roman" w:eastAsia="仿宋_GB2312" w:cs="Times New Roman"/>
          <w:color w:val="000000"/>
          <w:sz w:val="32"/>
          <w:szCs w:val="32"/>
        </w:rPr>
        <w:t>475.61</w:t>
      </w:r>
      <w:r>
        <w:rPr>
          <w:rFonts w:hint="eastAsia" w:ascii="宋体" w:hAnsi="宋体" w:eastAsia="仿宋_GB2312"/>
          <w:color w:val="000000"/>
          <w:sz w:val="32"/>
          <w:szCs w:val="32"/>
        </w:rPr>
        <w:t>平方公里。</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南垒河主要支流是指直接汇入南垒河的勐（牡）音河、煞息河、南各河、南白河、南雅河、南碾河、南吒河、南基河、南腊河等河流。南垒河流域保护范围由自治县人民政府划定，并向社会公布。</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第三条</w:t>
      </w:r>
      <w:r>
        <w:rPr>
          <w:rFonts w:hint="eastAsia"/>
          <w:color w:val="000000"/>
          <w:sz w:val="32"/>
          <w:szCs w:val="32"/>
          <w:lang w:eastAsia="zh-CN"/>
        </w:rPr>
        <w:t>　</w:t>
      </w:r>
      <w:r>
        <w:rPr>
          <w:rFonts w:hint="eastAsia" w:ascii="宋体" w:hAnsi="宋体" w:eastAsia="仿宋_GB2312"/>
          <w:color w:val="000000"/>
          <w:sz w:val="32"/>
          <w:szCs w:val="32"/>
        </w:rPr>
        <w:t>在南垒河流域内活动的单位和个人应当遵守本条例。南垒河流域内涉及自然保护区的保护管理，按照《中华人民共和国自然保护区条例》等法律法规的规定执行。</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第四条</w:t>
      </w:r>
      <w:r>
        <w:rPr>
          <w:rFonts w:hint="eastAsia" w:ascii="宋体" w:hAnsi="宋体"/>
          <w:color w:val="000000"/>
          <w:sz w:val="32"/>
          <w:szCs w:val="32"/>
          <w:lang w:eastAsia="zh-CN"/>
        </w:rPr>
        <w:t>　</w:t>
      </w:r>
      <w:r>
        <w:rPr>
          <w:rFonts w:hint="eastAsia" w:ascii="宋体" w:hAnsi="宋体" w:eastAsia="仿宋_GB2312"/>
          <w:color w:val="000000"/>
          <w:sz w:val="32"/>
          <w:szCs w:val="32"/>
        </w:rPr>
        <w:t>南垒河流域保护应当遵循保护优先、科学规划、综合治理、合理利用的原则。</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第五条</w:t>
      </w:r>
      <w:r>
        <w:rPr>
          <w:rFonts w:hint="eastAsia"/>
          <w:color w:val="000000"/>
          <w:sz w:val="32"/>
          <w:szCs w:val="32"/>
          <w:lang w:eastAsia="zh-CN"/>
        </w:rPr>
        <w:t>　</w:t>
      </w:r>
      <w:r>
        <w:rPr>
          <w:rFonts w:hint="eastAsia" w:ascii="宋体" w:hAnsi="宋体" w:eastAsia="仿宋_GB2312"/>
          <w:color w:val="000000"/>
          <w:sz w:val="32"/>
          <w:szCs w:val="32"/>
        </w:rPr>
        <w:t>自治县人民政府应当将南垒河流域的保护纳入国民经济和社会发展规划，所需经费列入本级财政预算。</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自治县人民政府应当统筹相关资金，用于南垒河流域的保护管理和改善生态环境。资金主要来源：上级扶持资金；本级财政预算资金；资源有偿使用费；捐赠和其他资金。</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第六条</w:t>
      </w:r>
      <w:r>
        <w:rPr>
          <w:rFonts w:hint="eastAsia"/>
          <w:color w:val="000000"/>
          <w:sz w:val="32"/>
          <w:szCs w:val="32"/>
          <w:lang w:eastAsia="zh-CN"/>
        </w:rPr>
        <w:t>　</w:t>
      </w:r>
      <w:r>
        <w:rPr>
          <w:rFonts w:hint="eastAsia" w:ascii="宋体" w:hAnsi="宋体" w:eastAsia="仿宋_GB2312"/>
          <w:color w:val="000000"/>
          <w:sz w:val="32"/>
          <w:szCs w:val="32"/>
        </w:rPr>
        <w:t>自治县人民政府应当与邻县同级人民政府建立跨行政区域联动协调保护机制，协调解决南垒河流域保护重大事项，实现共治、共管、共享。</w:t>
      </w: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eastAsia" w:ascii="宋体" w:hAnsi="宋体" w:eastAsia="宋体" w:cs="宋体"/>
          <w:color w:val="000000"/>
          <w:sz w:val="32"/>
          <w:szCs w:val="32"/>
        </w:rPr>
      </w:pP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eastAsia="仿宋_GB2312"/>
          <w:color w:val="000000"/>
          <w:sz w:val="32"/>
          <w:szCs w:val="32"/>
        </w:rPr>
      </w:pPr>
      <w:r>
        <w:rPr>
          <w:rFonts w:hint="eastAsia" w:ascii="宋体" w:hAnsi="宋体" w:eastAsia="黑体"/>
          <w:color w:val="000000"/>
          <w:sz w:val="32"/>
          <w:szCs w:val="32"/>
        </w:rPr>
        <w:t>第二章</w:t>
      </w:r>
      <w:r>
        <w:rPr>
          <w:rFonts w:hint="eastAsia" w:ascii="宋体" w:hAnsi="宋体"/>
          <w:color w:val="000000"/>
          <w:sz w:val="32"/>
          <w:szCs w:val="32"/>
          <w:lang w:eastAsia="zh-CN"/>
        </w:rPr>
        <w:t>　</w:t>
      </w:r>
      <w:r>
        <w:rPr>
          <w:rFonts w:hint="eastAsia" w:ascii="宋体" w:hAnsi="宋体" w:eastAsia="黑体"/>
          <w:color w:val="000000"/>
          <w:sz w:val="32"/>
          <w:szCs w:val="32"/>
        </w:rPr>
        <w:t>保护管理职责</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hint="eastAsia" w:ascii="宋体" w:hAnsi="宋体" w:eastAsia="宋体" w:cs="宋体"/>
          <w:color w:val="000000"/>
          <w:sz w:val="32"/>
          <w:szCs w:val="32"/>
        </w:rPr>
      </w:pP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第七条</w:t>
      </w:r>
      <w:r>
        <w:rPr>
          <w:rFonts w:hint="eastAsia" w:ascii="宋体" w:hAnsi="宋体"/>
          <w:color w:val="000000"/>
          <w:sz w:val="32"/>
          <w:szCs w:val="32"/>
          <w:lang w:eastAsia="zh-CN"/>
        </w:rPr>
        <w:t>　</w:t>
      </w:r>
      <w:r>
        <w:rPr>
          <w:rFonts w:hint="eastAsia" w:ascii="宋体" w:hAnsi="宋体" w:eastAsia="仿宋_GB2312"/>
          <w:color w:val="000000"/>
          <w:sz w:val="32"/>
          <w:szCs w:val="32"/>
        </w:rPr>
        <w:t>自治县人民政府应当加强南垒河流域保护管理，履行下列职责：</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（一）组织、督促相关行政主管部门和乡（镇）人民政府履行南垒河流域保护职责；</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（二）统筹安排南垒河流域生态保护治理项目建设和资金使用，争取国家在政策、项目、资金等方面支持南垒河流域保护工作；</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（三）制定促进南垒河流域产业转型升级和生态优先、绿色发展的措施；</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（四）建立生态保护补偿机制，加大对生态补偿和生态环境保护的支持力度，推动流域生态安全；</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（五）建立南垒河流域保护管理目标责任考核制度和激励机制。</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第八条</w:t>
      </w:r>
      <w:r>
        <w:rPr>
          <w:rFonts w:hint="eastAsia"/>
          <w:color w:val="000000"/>
          <w:sz w:val="32"/>
          <w:szCs w:val="32"/>
          <w:lang w:eastAsia="zh-CN"/>
        </w:rPr>
        <w:t>　</w:t>
      </w:r>
      <w:r>
        <w:rPr>
          <w:rFonts w:hint="eastAsia" w:ascii="宋体" w:hAnsi="宋体" w:eastAsia="仿宋_GB2312"/>
          <w:color w:val="000000"/>
          <w:sz w:val="32"/>
          <w:szCs w:val="32"/>
        </w:rPr>
        <w:t>自治县人民政府水行政主管部门具体负责南垒河流域的保护管理工作。</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发展和改革、自然资源、生态环境、住房和城乡建设、农业农村、林业和草原、市场监管等部门按照各自职责，做好南垒河流域的保护工作。</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第九条</w:t>
      </w:r>
      <w:r>
        <w:rPr>
          <w:rFonts w:hint="eastAsia" w:ascii="宋体" w:hAnsi="宋体"/>
          <w:color w:val="000000"/>
          <w:sz w:val="32"/>
          <w:szCs w:val="32"/>
          <w:lang w:eastAsia="zh-CN"/>
        </w:rPr>
        <w:t>　</w:t>
      </w:r>
      <w:r>
        <w:rPr>
          <w:rFonts w:hint="eastAsia" w:ascii="宋体" w:hAnsi="宋体" w:eastAsia="仿宋_GB2312"/>
          <w:color w:val="000000"/>
          <w:sz w:val="32"/>
          <w:szCs w:val="32"/>
        </w:rPr>
        <w:t>南垒河流域内的乡（镇）人民政府履行下列保护管理职责：</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（一）宣传本条例及相关法律法规；</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（二）负责本行政区域内南垒河保护管理的日常工作；</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（三）负责本行政区域内河道的维护和清淤保洁工作；</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（四）制止本行政区域内涉河违法违规行为；</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（五）依法履行本行政区域内南垒河保护管理的其他职责。</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南垒河流域内的村（居）民委员会应当加强对南垒河流域的保护，对违反本条例规定的行为予以劝阻和制止，并及时向乡（镇）人民政府报告。</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第十条</w:t>
      </w:r>
      <w:r>
        <w:rPr>
          <w:rFonts w:hint="eastAsia"/>
          <w:color w:val="000000"/>
          <w:sz w:val="32"/>
          <w:szCs w:val="32"/>
          <w:lang w:eastAsia="zh-CN"/>
        </w:rPr>
        <w:t>　</w:t>
      </w:r>
      <w:r>
        <w:rPr>
          <w:rFonts w:hint="eastAsia" w:ascii="宋体" w:hAnsi="宋体" w:eastAsia="仿宋_GB2312"/>
          <w:color w:val="000000"/>
          <w:sz w:val="32"/>
          <w:szCs w:val="32"/>
        </w:rPr>
        <w:t>南垒河流域保护与管理实行河长制，落实流域保护</w:t>
      </w:r>
      <w:r>
        <w:rPr>
          <w:rFonts w:hint="eastAsia" w:ascii="宋体" w:hAnsi="宋体" w:eastAsia="仿宋_GB2312"/>
          <w:color w:val="000000"/>
          <w:spacing w:val="-8"/>
          <w:sz w:val="32"/>
          <w:szCs w:val="32"/>
        </w:rPr>
        <w:t>与管理职责，分级分段组织领导本行政区域内流域保护与管理工作。</w:t>
      </w: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eastAsia" w:ascii="宋体" w:hAnsi="宋体" w:eastAsia="宋体" w:cs="宋体"/>
          <w:color w:val="000000"/>
          <w:sz w:val="32"/>
          <w:szCs w:val="32"/>
        </w:rPr>
      </w:pP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eastAsia="黑体"/>
          <w:color w:val="000000"/>
          <w:sz w:val="32"/>
          <w:szCs w:val="32"/>
        </w:rPr>
      </w:pPr>
      <w:r>
        <w:rPr>
          <w:rFonts w:hint="eastAsia" w:ascii="宋体" w:hAnsi="宋体" w:eastAsia="黑体"/>
          <w:color w:val="000000"/>
          <w:sz w:val="32"/>
          <w:szCs w:val="32"/>
        </w:rPr>
        <w:t>第三章</w:t>
      </w:r>
      <w:r>
        <w:rPr>
          <w:rFonts w:hint="eastAsia" w:ascii="宋体" w:hAnsi="宋体"/>
          <w:color w:val="000000"/>
          <w:sz w:val="32"/>
          <w:szCs w:val="32"/>
          <w:lang w:eastAsia="zh-CN"/>
        </w:rPr>
        <w:t>　</w:t>
      </w:r>
      <w:r>
        <w:rPr>
          <w:rFonts w:hint="eastAsia" w:ascii="宋体" w:hAnsi="宋体" w:eastAsia="黑体"/>
          <w:color w:val="000000"/>
          <w:sz w:val="32"/>
          <w:szCs w:val="32"/>
        </w:rPr>
        <w:t>保护与开发利用</w:t>
      </w: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eastAsia" w:ascii="宋体" w:hAnsi="宋体" w:eastAsia="宋体" w:cs="宋体"/>
          <w:color w:val="000000"/>
          <w:sz w:val="32"/>
          <w:szCs w:val="32"/>
        </w:rPr>
      </w:pP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第十一条</w:t>
      </w:r>
      <w:r>
        <w:rPr>
          <w:rFonts w:hint="eastAsia"/>
          <w:color w:val="000000"/>
          <w:sz w:val="32"/>
          <w:szCs w:val="32"/>
          <w:lang w:eastAsia="zh-CN"/>
        </w:rPr>
        <w:t>　</w:t>
      </w:r>
      <w:r>
        <w:rPr>
          <w:rFonts w:hint="eastAsia" w:ascii="宋体" w:hAnsi="宋体" w:eastAsia="仿宋_GB2312"/>
          <w:color w:val="000000"/>
          <w:sz w:val="32"/>
          <w:szCs w:val="32"/>
        </w:rPr>
        <w:t>自治县人民政府水行政主管部门应当组织编制南垒河流域保护规划，报自治县人民政府批准后实施。经批准的南垒河流域保护规划，任何单位和个人不得擅自改变。确需改变的，应当报原批准机关批准。南垒河流域保护规划应当与国土空间规划相衔接。</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第十二条</w:t>
      </w:r>
      <w:r>
        <w:rPr>
          <w:rFonts w:hint="eastAsia"/>
          <w:color w:val="000000"/>
          <w:sz w:val="32"/>
          <w:szCs w:val="32"/>
          <w:lang w:eastAsia="zh-CN"/>
        </w:rPr>
        <w:t>　</w:t>
      </w:r>
      <w:r>
        <w:rPr>
          <w:rFonts w:hint="eastAsia" w:ascii="宋体" w:hAnsi="宋体" w:eastAsia="仿宋_GB2312"/>
          <w:color w:val="000000"/>
          <w:sz w:val="32"/>
          <w:szCs w:val="32"/>
        </w:rPr>
        <w:t>在南垒河流域内新建、改建、扩建建设项目的，应当符合南垒河流域保护规划，并按照法定程序报相关部门审批。</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在南垒河流域内新建、改建、扩建建设项目的，施工单位应当采取有效措施，保护周围植被、水体、地貌、共生物，工程竣工后及时清理施工场地，恢复原状。</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第十三条</w:t>
      </w:r>
      <w:r>
        <w:rPr>
          <w:rFonts w:hint="eastAsia"/>
          <w:color w:val="000000"/>
          <w:sz w:val="32"/>
          <w:szCs w:val="32"/>
          <w:lang w:eastAsia="zh-CN"/>
        </w:rPr>
        <w:t>　</w:t>
      </w:r>
      <w:r>
        <w:rPr>
          <w:rFonts w:hint="eastAsia" w:ascii="宋体" w:hAnsi="宋体" w:eastAsia="仿宋_GB2312"/>
          <w:color w:val="000000"/>
          <w:sz w:val="32"/>
          <w:szCs w:val="32"/>
        </w:rPr>
        <w:t>自治县人民政府在制定南垒河流域产业发展规划时，应当严守耕地保护红线，注重节水、节能、节地和资源综合高效利用，重点发展可再生能源、绿色产业等，优先发展生态农业、观光农业、林业和高附加值的农产品加工业，积极推动农业产业结构调整。</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第十四条</w:t>
      </w:r>
      <w:r>
        <w:rPr>
          <w:rFonts w:hint="eastAsia"/>
          <w:color w:val="000000"/>
          <w:sz w:val="32"/>
          <w:szCs w:val="32"/>
          <w:lang w:eastAsia="zh-CN"/>
        </w:rPr>
        <w:t>　</w:t>
      </w:r>
      <w:r>
        <w:rPr>
          <w:rFonts w:hint="eastAsia" w:ascii="宋体" w:hAnsi="宋体" w:eastAsia="仿宋_GB2312"/>
          <w:color w:val="000000"/>
          <w:sz w:val="32"/>
          <w:szCs w:val="32"/>
        </w:rPr>
        <w:t>自治县人民政府应当加强建设污水收集管网和集中处理设施，对生活污水进行有效处理综合利用。</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自治县人民政府、南垒河流域内的乡（镇）人民政府，应当做好垃圾分类宣传和指导工作，在南垒河流域内的乡（镇）、村庄和居民集中区按照相关标准设置生活垃圾分类收集点，进行集中转运、无害化处理。</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第十五条</w:t>
      </w:r>
      <w:r>
        <w:rPr>
          <w:rFonts w:hint="eastAsia"/>
          <w:color w:val="000000"/>
          <w:sz w:val="32"/>
          <w:szCs w:val="32"/>
          <w:lang w:eastAsia="zh-CN"/>
        </w:rPr>
        <w:t>　</w:t>
      </w:r>
      <w:r>
        <w:rPr>
          <w:rFonts w:hint="eastAsia" w:ascii="宋体" w:hAnsi="宋体" w:eastAsia="仿宋_GB2312"/>
          <w:color w:val="000000"/>
          <w:sz w:val="32"/>
          <w:szCs w:val="32"/>
        </w:rPr>
        <w:t>南垒河流域内农产品等加工生产经营者应当建设污水处理设施，生产污水非经处理，不得排放。</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第十六条</w:t>
      </w:r>
      <w:r>
        <w:rPr>
          <w:rFonts w:hint="eastAsia"/>
          <w:color w:val="000000"/>
          <w:sz w:val="32"/>
          <w:szCs w:val="32"/>
          <w:lang w:eastAsia="zh-CN"/>
        </w:rPr>
        <w:t>　</w:t>
      </w:r>
      <w:r>
        <w:rPr>
          <w:rFonts w:hint="eastAsia" w:ascii="宋体" w:hAnsi="宋体" w:eastAsia="仿宋_GB2312"/>
          <w:color w:val="000000"/>
          <w:sz w:val="32"/>
          <w:szCs w:val="32"/>
        </w:rPr>
        <w:t>自治县人民政府应当合理规划南垒河流域两岸餐饮业经营活动范围。</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从事餐饮业，应当配置餐饮污水处理设备，对餐饮业产生的污水进行有效处理。未经处理，不得排入水环境。</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第十七条</w:t>
      </w:r>
      <w:r>
        <w:rPr>
          <w:rFonts w:hint="eastAsia"/>
          <w:color w:val="000000"/>
          <w:sz w:val="32"/>
          <w:szCs w:val="32"/>
          <w:lang w:eastAsia="zh-CN"/>
        </w:rPr>
        <w:t>　</w:t>
      </w:r>
      <w:r>
        <w:rPr>
          <w:rFonts w:hint="eastAsia" w:ascii="宋体" w:hAnsi="宋体" w:eastAsia="仿宋_GB2312"/>
          <w:color w:val="000000"/>
          <w:sz w:val="32"/>
          <w:szCs w:val="32"/>
        </w:rPr>
        <w:t>在南垒河流域河流的滩地和沿岸开展野炊、烧烤、聚会、游玩等活动的，应当保护好环境，注意用火安全，不得随意倾倒、抛撒、堆放或者焚烧生活垃圾。</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第十八条</w:t>
      </w:r>
      <w:r>
        <w:rPr>
          <w:rFonts w:hint="eastAsia"/>
          <w:color w:val="000000"/>
          <w:sz w:val="32"/>
          <w:szCs w:val="32"/>
          <w:lang w:eastAsia="zh-CN"/>
        </w:rPr>
        <w:t>　</w:t>
      </w:r>
      <w:r>
        <w:rPr>
          <w:rFonts w:hint="eastAsia" w:ascii="宋体" w:hAnsi="宋体" w:eastAsia="仿宋_GB2312"/>
          <w:color w:val="000000"/>
          <w:sz w:val="32"/>
          <w:szCs w:val="32"/>
        </w:rPr>
        <w:t>自治县人民政府应当根据南垒河流域内生态环境保护的需要，依法划定禁养区，并向社会公布。</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禁养区以外从事规模化畜禽养殖的单位和个人，应当按照国家有关畜禽养殖污染防治的要求，对畜禽养殖废弃物进行综合利用和无害化处理。从事非规模化畜禽养殖的个人，应当设置废水沉淀池。</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第十九条</w:t>
      </w:r>
      <w:r>
        <w:rPr>
          <w:rFonts w:hint="eastAsia"/>
          <w:color w:val="000000"/>
          <w:sz w:val="32"/>
          <w:szCs w:val="32"/>
          <w:lang w:eastAsia="zh-CN"/>
        </w:rPr>
        <w:t>　</w:t>
      </w:r>
      <w:r>
        <w:rPr>
          <w:rFonts w:hint="eastAsia" w:ascii="宋体" w:hAnsi="宋体" w:eastAsia="仿宋_GB2312"/>
          <w:color w:val="000000"/>
          <w:sz w:val="32"/>
          <w:szCs w:val="32"/>
        </w:rPr>
        <w:t>自治县人民政府应当根据南垒河流域渔业资源</w:t>
      </w:r>
    </w:p>
    <w:p>
      <w:pPr>
        <w:keepNext w:val="0"/>
        <w:keepLines w:val="0"/>
        <w:pageBreakBefore w:val="0"/>
        <w:widowControl w:val="0"/>
        <w:kinsoku/>
        <w:wordWrap/>
        <w:overflowPunct/>
        <w:topLinePunct/>
        <w:autoSpaceDE/>
        <w:autoSpaceDN/>
        <w:bidi w:val="0"/>
        <w:adjustRightInd/>
        <w:snapToGrid/>
        <w:spacing w:line="240" w:lineRule="auto"/>
        <w:textAlignment w:val="auto"/>
        <w:rPr>
          <w:rFonts w:ascii="宋体" w:hAnsi="宋体" w:eastAsia="仿宋_GB2312"/>
          <w:color w:val="000000"/>
          <w:spacing w:val="-6"/>
          <w:sz w:val="32"/>
          <w:szCs w:val="32"/>
        </w:rPr>
      </w:pPr>
      <w:r>
        <w:rPr>
          <w:rFonts w:hint="eastAsia" w:ascii="宋体" w:hAnsi="宋体" w:eastAsia="仿宋_GB2312"/>
          <w:color w:val="000000"/>
          <w:spacing w:val="-6"/>
          <w:sz w:val="32"/>
          <w:szCs w:val="32"/>
        </w:rPr>
        <w:t>情况，依法确定并公布禁渔区、禁渔期。禁止在禁渔区、禁渔期进行捕捞。</w:t>
      </w:r>
    </w:p>
    <w:p>
      <w:pPr>
        <w:keepNext w:val="0"/>
        <w:keepLines w:val="0"/>
        <w:pageBreakBefore w:val="0"/>
        <w:widowControl w:val="0"/>
        <w:kinsoku/>
        <w:wordWrap/>
        <w:overflowPunct/>
        <w:topLinePunct/>
        <w:autoSpaceDE/>
        <w:autoSpaceDN/>
        <w:bidi w:val="0"/>
        <w:adjustRightInd/>
        <w:snapToGrid/>
        <w:spacing w:line="240" w:lineRule="auto"/>
        <w:ind w:firstLine="608" w:firstLineChars="200"/>
        <w:textAlignment w:val="auto"/>
        <w:rPr>
          <w:rFonts w:ascii="宋体" w:hAnsi="宋体" w:eastAsia="仿宋_GB2312"/>
          <w:color w:val="000000"/>
          <w:spacing w:val="-6"/>
          <w:sz w:val="32"/>
          <w:szCs w:val="32"/>
        </w:rPr>
      </w:pPr>
      <w:r>
        <w:rPr>
          <w:rFonts w:hint="eastAsia" w:ascii="宋体" w:hAnsi="宋体" w:eastAsia="黑体"/>
          <w:color w:val="000000"/>
          <w:spacing w:val="-6"/>
          <w:sz w:val="32"/>
          <w:szCs w:val="32"/>
        </w:rPr>
        <w:t>第二十条</w:t>
      </w:r>
      <w:r>
        <w:rPr>
          <w:rFonts w:hint="eastAsia"/>
          <w:color w:val="000000"/>
          <w:sz w:val="32"/>
          <w:szCs w:val="32"/>
          <w:lang w:eastAsia="zh-CN"/>
        </w:rPr>
        <w:t>　</w:t>
      </w:r>
      <w:r>
        <w:rPr>
          <w:rFonts w:hint="eastAsia" w:ascii="宋体" w:hAnsi="宋体" w:eastAsia="仿宋_GB2312"/>
          <w:color w:val="000000"/>
          <w:spacing w:val="-6"/>
          <w:sz w:val="32"/>
          <w:szCs w:val="32"/>
        </w:rPr>
        <w:t>自治县人民政府应当根据南垒河流域内生态环境保护的需要，划定河道采砂禁采区和可采区，并向社会公布。</w:t>
      </w:r>
    </w:p>
    <w:p>
      <w:pPr>
        <w:keepNext w:val="0"/>
        <w:keepLines w:val="0"/>
        <w:pageBreakBefore w:val="0"/>
        <w:widowControl w:val="0"/>
        <w:kinsoku/>
        <w:wordWrap/>
        <w:overflowPunct/>
        <w:topLinePunct/>
        <w:autoSpaceDE/>
        <w:autoSpaceDN/>
        <w:bidi w:val="0"/>
        <w:adjustRightInd/>
        <w:snapToGrid/>
        <w:spacing w:line="240" w:lineRule="auto"/>
        <w:ind w:firstLine="608" w:firstLineChars="200"/>
        <w:textAlignment w:val="auto"/>
        <w:rPr>
          <w:rFonts w:ascii="宋体" w:hAnsi="宋体" w:eastAsia="仿宋_GB2312"/>
          <w:color w:val="000000"/>
          <w:spacing w:val="-6"/>
          <w:sz w:val="32"/>
          <w:szCs w:val="32"/>
        </w:rPr>
      </w:pPr>
      <w:r>
        <w:rPr>
          <w:rFonts w:hint="eastAsia" w:ascii="宋体" w:hAnsi="宋体" w:eastAsia="仿宋_GB2312"/>
          <w:color w:val="000000"/>
          <w:spacing w:val="-6"/>
          <w:sz w:val="32"/>
          <w:szCs w:val="32"/>
        </w:rPr>
        <w:t>在法律法规规定的可采区和可采期，村民因生活自用少量砂石需到河道开采的，应当由当地村民小组、村委会出具证明，经乡（镇）人民政府核实后在指定区域定时定量采砂，采挖的砂石不得销售。</w:t>
      </w:r>
    </w:p>
    <w:p>
      <w:pPr>
        <w:keepNext w:val="0"/>
        <w:keepLines w:val="0"/>
        <w:pageBreakBefore w:val="0"/>
        <w:widowControl w:val="0"/>
        <w:kinsoku/>
        <w:wordWrap/>
        <w:overflowPunct/>
        <w:topLinePunct/>
        <w:autoSpaceDE/>
        <w:autoSpaceDN/>
        <w:bidi w:val="0"/>
        <w:adjustRightInd/>
        <w:snapToGrid/>
        <w:spacing w:line="240" w:lineRule="auto"/>
        <w:ind w:firstLine="608" w:firstLineChars="200"/>
        <w:textAlignment w:val="auto"/>
        <w:rPr>
          <w:rFonts w:ascii="宋体" w:hAnsi="宋体" w:eastAsia="仿宋_GB2312"/>
          <w:color w:val="000000"/>
          <w:spacing w:val="-6"/>
          <w:sz w:val="32"/>
          <w:szCs w:val="32"/>
        </w:rPr>
      </w:pPr>
      <w:r>
        <w:rPr>
          <w:rFonts w:hint="eastAsia" w:ascii="宋体" w:hAnsi="宋体" w:eastAsia="黑体"/>
          <w:color w:val="000000"/>
          <w:spacing w:val="-6"/>
          <w:sz w:val="32"/>
          <w:szCs w:val="32"/>
        </w:rPr>
        <w:t>第二十一条</w:t>
      </w:r>
      <w:r>
        <w:rPr>
          <w:rFonts w:hint="eastAsia"/>
          <w:color w:val="000000"/>
          <w:sz w:val="32"/>
          <w:szCs w:val="32"/>
          <w:lang w:eastAsia="zh-CN"/>
        </w:rPr>
        <w:t>　</w:t>
      </w:r>
      <w:r>
        <w:rPr>
          <w:rFonts w:hint="eastAsia" w:ascii="宋体" w:hAnsi="宋体" w:eastAsia="仿宋_GB2312"/>
          <w:color w:val="000000"/>
          <w:spacing w:val="-6"/>
          <w:sz w:val="32"/>
          <w:szCs w:val="32"/>
        </w:rPr>
        <w:t>自治县人民政府农业农村行政主管部门应当指导南垒河流域内农业生产者，科学合理施用化肥和农药。</w:t>
      </w:r>
    </w:p>
    <w:p>
      <w:pPr>
        <w:keepNext w:val="0"/>
        <w:keepLines w:val="0"/>
        <w:pageBreakBefore w:val="0"/>
        <w:widowControl w:val="0"/>
        <w:kinsoku/>
        <w:wordWrap/>
        <w:overflowPunct/>
        <w:topLinePunct/>
        <w:autoSpaceDE/>
        <w:autoSpaceDN/>
        <w:bidi w:val="0"/>
        <w:adjustRightInd/>
        <w:snapToGrid/>
        <w:spacing w:line="240" w:lineRule="auto"/>
        <w:ind w:firstLine="608" w:firstLineChars="200"/>
        <w:textAlignment w:val="auto"/>
        <w:rPr>
          <w:rFonts w:ascii="宋体" w:hAnsi="宋体" w:eastAsia="仿宋_GB2312"/>
          <w:color w:val="000000"/>
          <w:spacing w:val="-6"/>
          <w:sz w:val="32"/>
          <w:szCs w:val="32"/>
        </w:rPr>
      </w:pPr>
      <w:r>
        <w:rPr>
          <w:rFonts w:hint="eastAsia" w:ascii="宋体" w:hAnsi="宋体" w:eastAsia="仿宋_GB2312"/>
          <w:color w:val="000000"/>
          <w:spacing w:val="-6"/>
          <w:sz w:val="32"/>
          <w:szCs w:val="32"/>
        </w:rPr>
        <w:t>农药使用者应当按照农药标签标注的使用范围、使用方法和剂量、使用技术要求和注意事项、安全间隔期使用农药，不得使用禁用的农药，防止农业面源污染。</w:t>
      </w:r>
      <w:r>
        <w:rPr>
          <w:rFonts w:ascii="宋体" w:hAnsi="宋体" w:eastAsia="仿宋_GB2312"/>
          <w:color w:val="000000"/>
          <w:spacing w:val="-6"/>
          <w:sz w:val="32"/>
          <w:szCs w:val="32"/>
        </w:rPr>
        <w:t xml:space="preserve"> </w:t>
      </w:r>
    </w:p>
    <w:p>
      <w:pPr>
        <w:keepNext w:val="0"/>
        <w:keepLines w:val="0"/>
        <w:pageBreakBefore w:val="0"/>
        <w:widowControl w:val="0"/>
        <w:kinsoku/>
        <w:wordWrap/>
        <w:overflowPunct/>
        <w:topLinePunct/>
        <w:autoSpaceDE/>
        <w:autoSpaceDN/>
        <w:bidi w:val="0"/>
        <w:adjustRightInd/>
        <w:snapToGrid/>
        <w:spacing w:line="240" w:lineRule="auto"/>
        <w:ind w:firstLine="608" w:firstLineChars="200"/>
        <w:textAlignment w:val="auto"/>
        <w:rPr>
          <w:rFonts w:ascii="宋体" w:hAnsi="宋体" w:eastAsia="仿宋_GB2312"/>
          <w:color w:val="000000"/>
          <w:spacing w:val="-6"/>
          <w:sz w:val="32"/>
          <w:szCs w:val="32"/>
        </w:rPr>
      </w:pPr>
      <w:r>
        <w:rPr>
          <w:rFonts w:hint="eastAsia" w:ascii="宋体" w:hAnsi="宋体" w:eastAsia="黑体"/>
          <w:color w:val="000000"/>
          <w:spacing w:val="-6"/>
          <w:sz w:val="32"/>
          <w:szCs w:val="32"/>
        </w:rPr>
        <w:t>第二十二条</w:t>
      </w:r>
      <w:r>
        <w:rPr>
          <w:rFonts w:hint="eastAsia"/>
          <w:color w:val="000000"/>
          <w:sz w:val="32"/>
          <w:szCs w:val="32"/>
          <w:lang w:eastAsia="zh-CN"/>
        </w:rPr>
        <w:t>　</w:t>
      </w:r>
      <w:r>
        <w:rPr>
          <w:rFonts w:hint="eastAsia" w:ascii="宋体" w:hAnsi="宋体" w:eastAsia="仿宋_GB2312"/>
          <w:color w:val="000000"/>
          <w:spacing w:val="-6"/>
          <w:sz w:val="32"/>
          <w:szCs w:val="32"/>
        </w:rPr>
        <w:t>自治县人民政府林业和草原行政主管部门应当加大对南垒河流域森林资源的保护，加强南垒河流域水源涵养林、水土保持林的建设和保护。在南垒河流域内，禁止采伐采挖和买卖野生的龙血树、兰草、石斛、鸡血藤。</w:t>
      </w:r>
    </w:p>
    <w:p>
      <w:pPr>
        <w:keepNext w:val="0"/>
        <w:keepLines w:val="0"/>
        <w:pageBreakBefore w:val="0"/>
        <w:widowControl w:val="0"/>
        <w:kinsoku/>
        <w:wordWrap/>
        <w:overflowPunct/>
        <w:topLinePunct/>
        <w:autoSpaceDE/>
        <w:autoSpaceDN/>
        <w:bidi w:val="0"/>
        <w:adjustRightInd/>
        <w:snapToGrid/>
        <w:spacing w:line="240" w:lineRule="auto"/>
        <w:ind w:firstLine="608" w:firstLineChars="200"/>
        <w:textAlignment w:val="auto"/>
        <w:rPr>
          <w:rFonts w:ascii="宋体" w:hAnsi="宋体" w:eastAsia="仿宋_GB2312"/>
          <w:color w:val="000000"/>
          <w:spacing w:val="-6"/>
          <w:sz w:val="32"/>
          <w:szCs w:val="32"/>
        </w:rPr>
      </w:pPr>
      <w:r>
        <w:rPr>
          <w:rFonts w:hint="eastAsia" w:ascii="宋体" w:hAnsi="宋体" w:eastAsia="仿宋_GB2312"/>
          <w:color w:val="000000"/>
          <w:spacing w:val="-6"/>
          <w:sz w:val="32"/>
          <w:szCs w:val="32"/>
        </w:rPr>
        <w:t>自治县人民政府林业和草原行政主管部门、农业农村行政主管部门应当加强对在南垒河流域林下种植活动的管理、帮助和指导。单位和个人应当按照相关技术规程进行林下种植，林下种植不得造成林业损坏。</w:t>
      </w:r>
    </w:p>
    <w:p>
      <w:pPr>
        <w:keepNext w:val="0"/>
        <w:keepLines w:val="0"/>
        <w:pageBreakBefore w:val="0"/>
        <w:widowControl w:val="0"/>
        <w:kinsoku/>
        <w:wordWrap/>
        <w:overflowPunct/>
        <w:topLinePunct/>
        <w:autoSpaceDE/>
        <w:autoSpaceDN/>
        <w:bidi w:val="0"/>
        <w:adjustRightInd/>
        <w:snapToGrid/>
        <w:spacing w:line="240" w:lineRule="auto"/>
        <w:ind w:firstLine="608" w:firstLineChars="200"/>
        <w:textAlignment w:val="auto"/>
        <w:rPr>
          <w:rFonts w:hint="eastAsia" w:ascii="宋体" w:hAnsi="宋体" w:eastAsia="宋体" w:cs="宋体"/>
          <w:color w:val="000000"/>
          <w:spacing w:val="-6"/>
          <w:sz w:val="32"/>
          <w:szCs w:val="32"/>
        </w:rPr>
      </w:pP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eastAsia="黑体"/>
          <w:color w:val="000000"/>
          <w:spacing w:val="-6"/>
          <w:sz w:val="32"/>
          <w:szCs w:val="32"/>
        </w:rPr>
      </w:pPr>
      <w:r>
        <w:rPr>
          <w:rFonts w:hint="eastAsia" w:ascii="宋体" w:hAnsi="宋体" w:eastAsia="黑体"/>
          <w:color w:val="000000"/>
          <w:spacing w:val="-6"/>
          <w:sz w:val="32"/>
          <w:szCs w:val="32"/>
        </w:rPr>
        <w:t>第四章</w:t>
      </w:r>
      <w:r>
        <w:rPr>
          <w:rFonts w:hint="eastAsia" w:ascii="宋体" w:hAnsi="宋体"/>
          <w:color w:val="000000"/>
          <w:spacing w:val="-6"/>
          <w:sz w:val="32"/>
          <w:szCs w:val="32"/>
          <w:lang w:eastAsia="zh-CN"/>
        </w:rPr>
        <w:t>　</w:t>
      </w:r>
      <w:r>
        <w:rPr>
          <w:rFonts w:hint="eastAsia" w:ascii="宋体" w:hAnsi="宋体" w:eastAsia="黑体"/>
          <w:color w:val="000000"/>
          <w:spacing w:val="-6"/>
          <w:sz w:val="32"/>
          <w:szCs w:val="32"/>
        </w:rPr>
        <w:t>法律责任</w:t>
      </w: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eastAsia" w:ascii="宋体" w:hAnsi="宋体" w:eastAsia="宋体" w:cs="宋体"/>
          <w:color w:val="000000"/>
          <w:spacing w:val="-6"/>
          <w:sz w:val="32"/>
          <w:szCs w:val="32"/>
        </w:rPr>
      </w:pP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第二十三条</w:t>
      </w:r>
      <w:r>
        <w:rPr>
          <w:rFonts w:hint="eastAsia"/>
          <w:color w:val="000000"/>
          <w:sz w:val="32"/>
          <w:szCs w:val="32"/>
          <w:lang w:eastAsia="zh-CN"/>
        </w:rPr>
        <w:t>　</w:t>
      </w:r>
      <w:r>
        <w:rPr>
          <w:rFonts w:hint="eastAsia" w:ascii="宋体" w:hAnsi="宋体" w:eastAsia="仿宋_GB2312"/>
          <w:color w:val="000000"/>
          <w:sz w:val="32"/>
          <w:szCs w:val="32"/>
        </w:rPr>
        <w:t>违反第十七条规定，随意倾倒、抛撒、堆放或者焚烧生活垃圾的，由自治县人民政府水行政主管部门责令改正，处以罚款，单位有以上行为的，处</w:t>
      </w:r>
      <w:r>
        <w:rPr>
          <w:rFonts w:hint="default" w:ascii="Times New Roman" w:hAnsi="Times New Roman" w:eastAsia="仿宋_GB2312" w:cs="Times New Roman"/>
          <w:color w:val="000000"/>
          <w:sz w:val="32"/>
          <w:szCs w:val="32"/>
        </w:rPr>
        <w:t>5万元以上50万元以下的罚款；个人有以上行为的，处100元以上500元以</w:t>
      </w:r>
      <w:r>
        <w:rPr>
          <w:rFonts w:hint="eastAsia" w:ascii="宋体" w:hAnsi="宋体" w:eastAsia="仿宋_GB2312"/>
          <w:color w:val="000000"/>
          <w:sz w:val="32"/>
          <w:szCs w:val="32"/>
        </w:rPr>
        <w:t>下的罚款。</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第二十四条</w:t>
      </w:r>
      <w:r>
        <w:rPr>
          <w:rFonts w:hint="eastAsia"/>
          <w:color w:val="000000"/>
          <w:sz w:val="32"/>
          <w:szCs w:val="32"/>
          <w:lang w:eastAsia="zh-CN"/>
        </w:rPr>
        <w:t>　</w:t>
      </w:r>
      <w:r>
        <w:rPr>
          <w:rFonts w:hint="eastAsia" w:ascii="宋体" w:hAnsi="宋体" w:eastAsia="仿宋_GB2312"/>
          <w:color w:val="000000"/>
          <w:sz w:val="32"/>
          <w:szCs w:val="32"/>
        </w:rPr>
        <w:t>违反第十八条第二款规定，规模化畜禽养殖的单位和个人，未经无害化处理直接向环境排放畜禽养殖废弃物的，由生态环境主管部门责令限期治理，可以处</w:t>
      </w:r>
      <w:r>
        <w:rPr>
          <w:rFonts w:hint="default" w:ascii="Times New Roman" w:hAnsi="Times New Roman" w:eastAsia="仿宋_GB2312" w:cs="Times New Roman"/>
          <w:color w:val="000000"/>
          <w:sz w:val="32"/>
          <w:szCs w:val="32"/>
        </w:rPr>
        <w:t>5</w:t>
      </w:r>
      <w:r>
        <w:rPr>
          <w:rFonts w:hint="eastAsia" w:ascii="宋体" w:hAnsi="宋体" w:eastAsia="仿宋_GB2312"/>
          <w:color w:val="000000"/>
          <w:sz w:val="32"/>
          <w:szCs w:val="32"/>
        </w:rPr>
        <w:t>万元以下的罚款。生态环境主管部门作出限期治理决定后，应当会同自治县人民政府农业农村等有关部门对整改措施的落实情况及时进行核查，并向社会公布核查结果。</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第二十五条</w:t>
      </w:r>
      <w:r>
        <w:rPr>
          <w:rFonts w:hint="eastAsia"/>
          <w:color w:val="000000"/>
          <w:sz w:val="32"/>
          <w:szCs w:val="32"/>
          <w:lang w:eastAsia="zh-CN"/>
        </w:rPr>
        <w:t>　</w:t>
      </w:r>
      <w:r>
        <w:rPr>
          <w:rFonts w:hint="eastAsia" w:ascii="宋体" w:hAnsi="宋体" w:eastAsia="仿宋_GB2312"/>
          <w:color w:val="000000"/>
          <w:sz w:val="32"/>
          <w:szCs w:val="32"/>
        </w:rPr>
        <w:t>违反第十九条规定，违反关于禁渔区、禁渔期的规定进行捕捞的，由自治县人民政府渔业行政主管部门责令停止违法行为，没收渔获物和违法所得，处</w:t>
      </w:r>
      <w:r>
        <w:rPr>
          <w:rFonts w:hint="default" w:ascii="Times New Roman" w:hAnsi="Times New Roman" w:eastAsia="仿宋_GB2312" w:cs="Times New Roman"/>
          <w:color w:val="000000"/>
          <w:sz w:val="32"/>
          <w:szCs w:val="32"/>
        </w:rPr>
        <w:t>5</w:t>
      </w:r>
      <w:r>
        <w:rPr>
          <w:rFonts w:hint="eastAsia" w:ascii="宋体" w:hAnsi="宋体" w:eastAsia="仿宋_GB2312"/>
          <w:color w:val="000000"/>
          <w:sz w:val="32"/>
          <w:szCs w:val="32"/>
        </w:rPr>
        <w:t>万元以下的罚款；情节严重的，没收渔具，吊销捕捞许可证；情节特别严重的，可以没收渔船；构成犯罪的，依法追究刑事责任。</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第二十六条</w:t>
      </w:r>
      <w:r>
        <w:rPr>
          <w:rFonts w:hint="eastAsia"/>
          <w:color w:val="000000"/>
          <w:sz w:val="32"/>
          <w:szCs w:val="32"/>
          <w:lang w:eastAsia="zh-CN"/>
        </w:rPr>
        <w:t>　</w:t>
      </w:r>
      <w:r>
        <w:rPr>
          <w:rFonts w:hint="eastAsia" w:ascii="宋体" w:hAnsi="宋体" w:eastAsia="仿宋_GB2312"/>
          <w:color w:val="000000"/>
          <w:sz w:val="32"/>
          <w:szCs w:val="32"/>
        </w:rPr>
        <w:t>违反第二十条第二款规定的，按照《普洱市河道采砂管理条例》予以处罚。</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第二十七条</w:t>
      </w:r>
      <w:r>
        <w:rPr>
          <w:rFonts w:hint="eastAsia"/>
          <w:color w:val="000000"/>
          <w:sz w:val="32"/>
          <w:szCs w:val="32"/>
          <w:lang w:eastAsia="zh-CN"/>
        </w:rPr>
        <w:t>　</w:t>
      </w:r>
      <w:r>
        <w:rPr>
          <w:rFonts w:hint="eastAsia" w:ascii="宋体" w:hAnsi="宋体" w:eastAsia="仿宋_GB2312"/>
          <w:color w:val="000000"/>
          <w:sz w:val="32"/>
          <w:szCs w:val="32"/>
        </w:rPr>
        <w:t>违反第二十一条第二款规定，不按照农药标签标注的使用范围、使用方法和剂量、使用技术要求和注意事项、安全间隔期使用农药，使用禁用的农药的，由自治县人民政府农业行政主管部门责令改正，农药使用者为</w:t>
      </w:r>
      <w:r>
        <w:rPr>
          <w:rFonts w:hint="eastAsia" w:ascii="宋体" w:hAnsi="宋体" w:eastAsia="仿宋"/>
          <w:color w:val="000000"/>
          <w:sz w:val="32"/>
          <w:szCs w:val="32"/>
        </w:rPr>
        <w:t>农民</w:t>
      </w:r>
      <w:r>
        <w:rPr>
          <w:rFonts w:hint="eastAsia" w:ascii="宋体" w:hAnsi="宋体" w:eastAsia="仿宋_GB2312"/>
          <w:color w:val="000000"/>
          <w:sz w:val="32"/>
          <w:szCs w:val="32"/>
        </w:rPr>
        <w:t>专业合作社等单位的，</w:t>
      </w:r>
      <w:r>
        <w:rPr>
          <w:rFonts w:hint="default" w:ascii="Times New Roman" w:hAnsi="Times New Roman" w:eastAsia="仿宋_GB2312" w:cs="Times New Roman"/>
          <w:color w:val="000000"/>
          <w:sz w:val="32"/>
          <w:szCs w:val="32"/>
        </w:rPr>
        <w:t>处5万元以上10万元以下罚款；农药使用者为个人的，处1</w:t>
      </w:r>
      <w:r>
        <w:rPr>
          <w:rFonts w:hint="eastAsia" w:ascii="宋体" w:hAnsi="宋体" w:eastAsia="仿宋_GB2312"/>
          <w:color w:val="000000"/>
          <w:sz w:val="32"/>
          <w:szCs w:val="32"/>
        </w:rPr>
        <w:t>万元以下罚款；构成犯罪的，依法追究刑事责任。</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第二十八条</w:t>
      </w:r>
      <w:r>
        <w:rPr>
          <w:rFonts w:hint="eastAsia"/>
          <w:color w:val="000000"/>
          <w:sz w:val="32"/>
          <w:szCs w:val="32"/>
          <w:lang w:eastAsia="zh-CN"/>
        </w:rPr>
        <w:t>　</w:t>
      </w:r>
      <w:r>
        <w:rPr>
          <w:rFonts w:hint="eastAsia" w:ascii="宋体" w:hAnsi="宋体" w:eastAsia="仿宋_GB2312"/>
          <w:color w:val="000000"/>
          <w:sz w:val="32"/>
          <w:szCs w:val="32"/>
        </w:rPr>
        <w:t>违反第二十二条第二款规定，</w:t>
      </w:r>
      <w:r>
        <w:rPr>
          <w:rFonts w:hint="eastAsia" w:ascii="宋体" w:hAnsi="宋体" w:eastAsia="仿宋"/>
          <w:color w:val="000000"/>
          <w:sz w:val="32"/>
          <w:szCs w:val="32"/>
        </w:rPr>
        <w:t>单位和</w:t>
      </w:r>
      <w:r>
        <w:rPr>
          <w:rFonts w:hint="eastAsia" w:ascii="宋体" w:hAnsi="宋体" w:eastAsia="仿宋_GB2312"/>
          <w:color w:val="000000"/>
          <w:sz w:val="32"/>
          <w:szCs w:val="32"/>
        </w:rPr>
        <w:t>个人未按技术规程开展林下种植，造成林业损坏的，由自治县人民政府林业和草原行政主管部门责令停止违法行为，限期在原地或者异地补种毁坏株数</w:t>
      </w:r>
      <w:r>
        <w:rPr>
          <w:rFonts w:hint="default" w:ascii="Times New Roman" w:hAnsi="Times New Roman" w:eastAsia="仿宋_GB2312" w:cs="Times New Roman"/>
          <w:color w:val="000000"/>
          <w:sz w:val="32"/>
          <w:szCs w:val="32"/>
        </w:rPr>
        <w:t>１倍以上3倍以下的树木，可以处损坏林业价值5</w:t>
      </w:r>
      <w:r>
        <w:rPr>
          <w:rFonts w:hint="eastAsia" w:ascii="宋体" w:hAnsi="宋体" w:eastAsia="仿宋_GB2312"/>
          <w:color w:val="000000"/>
          <w:spacing w:val="4"/>
          <w:sz w:val="32"/>
          <w:szCs w:val="32"/>
        </w:rPr>
        <w:t>倍以下的罚款；造成林地毁坏的，由自治县人民政府林业和草原行政主管部门责令停止违法行为，限期恢复植被和林业生产条件，可以处恢复植被和林业生产条件所需费用</w:t>
      </w:r>
      <w:r>
        <w:rPr>
          <w:rFonts w:hint="default" w:ascii="Times New Roman" w:hAnsi="Times New Roman" w:eastAsia="仿宋_GB2312" w:cs="Times New Roman"/>
          <w:color w:val="000000"/>
          <w:spacing w:val="4"/>
          <w:sz w:val="32"/>
          <w:szCs w:val="32"/>
        </w:rPr>
        <w:t>3</w:t>
      </w:r>
      <w:r>
        <w:rPr>
          <w:rFonts w:hint="eastAsia" w:ascii="宋体" w:hAnsi="宋体" w:eastAsia="仿宋_GB2312"/>
          <w:color w:val="000000"/>
          <w:spacing w:val="4"/>
          <w:sz w:val="32"/>
          <w:szCs w:val="32"/>
        </w:rPr>
        <w:t>倍以下的罚款。</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第二十九条</w:t>
      </w:r>
      <w:r>
        <w:rPr>
          <w:rFonts w:hint="eastAsia"/>
          <w:color w:val="000000"/>
          <w:sz w:val="32"/>
          <w:szCs w:val="32"/>
          <w:lang w:eastAsia="zh-CN"/>
        </w:rPr>
        <w:t>　</w:t>
      </w:r>
      <w:r>
        <w:rPr>
          <w:rFonts w:hint="eastAsia" w:ascii="宋体" w:hAnsi="宋体" w:eastAsia="仿宋_GB2312"/>
          <w:color w:val="000000"/>
          <w:sz w:val="32"/>
          <w:szCs w:val="32"/>
        </w:rPr>
        <w:t>相关部门的工作人员在南垒河流域保护工作中玩忽职守、滥用职权、徇私舞弊的，依法给予处分；构成犯罪的，依法追究刑事责任。</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第三十条</w:t>
      </w:r>
      <w:r>
        <w:rPr>
          <w:rFonts w:hint="eastAsia"/>
          <w:color w:val="000000"/>
          <w:sz w:val="32"/>
          <w:szCs w:val="32"/>
          <w:lang w:eastAsia="zh-CN"/>
        </w:rPr>
        <w:t>　</w:t>
      </w:r>
      <w:r>
        <w:rPr>
          <w:rFonts w:hint="eastAsia" w:ascii="宋体" w:hAnsi="宋体" w:eastAsia="仿宋_GB2312"/>
          <w:color w:val="000000"/>
          <w:sz w:val="32"/>
          <w:szCs w:val="32"/>
        </w:rPr>
        <w:t>违反本条例规定，本条例未作处罚规定的，按照相关法律法规进行处罚。</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hint="eastAsia" w:ascii="宋体" w:hAnsi="宋体" w:eastAsia="宋体" w:cs="宋体"/>
          <w:color w:val="000000"/>
          <w:sz w:val="32"/>
          <w:szCs w:val="32"/>
        </w:rPr>
      </w:pP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eastAsia="黑体"/>
          <w:color w:val="000000"/>
          <w:sz w:val="32"/>
          <w:szCs w:val="32"/>
        </w:rPr>
      </w:pPr>
      <w:r>
        <w:rPr>
          <w:rFonts w:hint="eastAsia" w:ascii="宋体" w:hAnsi="宋体" w:eastAsia="黑体"/>
          <w:color w:val="000000"/>
          <w:sz w:val="32"/>
          <w:szCs w:val="32"/>
        </w:rPr>
        <w:t>第五章</w:t>
      </w:r>
      <w:r>
        <w:rPr>
          <w:rFonts w:hint="eastAsia" w:ascii="宋体" w:hAnsi="宋体"/>
          <w:color w:val="000000"/>
          <w:sz w:val="32"/>
          <w:szCs w:val="32"/>
          <w:lang w:eastAsia="zh-CN"/>
        </w:rPr>
        <w:t>　</w:t>
      </w:r>
      <w:r>
        <w:rPr>
          <w:rFonts w:hint="eastAsia" w:ascii="宋体" w:hAnsi="宋体" w:eastAsia="黑体"/>
          <w:color w:val="000000"/>
          <w:sz w:val="32"/>
          <w:szCs w:val="32"/>
        </w:rPr>
        <w:t>附</w:t>
      </w:r>
      <w:r>
        <w:rPr>
          <w:rFonts w:hint="eastAsia" w:ascii="宋体" w:hAnsi="宋体"/>
          <w:color w:val="000000"/>
          <w:sz w:val="32"/>
          <w:szCs w:val="32"/>
          <w:lang w:eastAsia="zh-CN"/>
        </w:rPr>
        <w:t>　</w:t>
      </w:r>
      <w:r>
        <w:rPr>
          <w:rFonts w:ascii="黑体" w:hAnsi="黑体" w:eastAsia="黑体" w:cs="黑体"/>
          <w:sz w:val="32"/>
        </w:rPr>
        <w:t>　</w:t>
      </w:r>
      <w:r>
        <w:rPr>
          <w:rFonts w:hint="eastAsia" w:ascii="宋体" w:hAnsi="宋体" w:eastAsia="黑体"/>
          <w:color w:val="000000"/>
          <w:sz w:val="32"/>
          <w:szCs w:val="32"/>
        </w:rPr>
        <w:t>则</w:t>
      </w:r>
    </w:p>
    <w:p>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eastAsia" w:ascii="宋体" w:hAnsi="宋体" w:eastAsia="宋体" w:cs="宋体"/>
          <w:color w:val="000000"/>
          <w:sz w:val="32"/>
          <w:szCs w:val="32"/>
        </w:rPr>
      </w:pP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黑体"/>
          <w:color w:val="000000"/>
          <w:sz w:val="32"/>
          <w:szCs w:val="32"/>
        </w:rPr>
        <w:t>第三十一条</w:t>
      </w:r>
      <w:r>
        <w:rPr>
          <w:rFonts w:hint="eastAsia"/>
          <w:color w:val="000000"/>
          <w:sz w:val="32"/>
          <w:szCs w:val="32"/>
          <w:lang w:eastAsia="zh-CN"/>
        </w:rPr>
        <w:t>　</w:t>
      </w:r>
      <w:r>
        <w:rPr>
          <w:rFonts w:hint="eastAsia" w:ascii="宋体" w:hAnsi="宋体" w:eastAsia="仿宋_GB2312"/>
          <w:color w:val="000000"/>
          <w:sz w:val="32"/>
          <w:szCs w:val="32"/>
        </w:rPr>
        <w:t>本条例经自治县人民代表大会审议通过，报云南省人民代表大会常务委员会审议批准，由自治县人民代表大会常务委员会公布施行。</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rPr>
          <w:rFonts w:ascii="宋体" w:hAnsi="宋体" w:eastAsia="仿宋_GB2312"/>
          <w:color w:val="000000"/>
          <w:sz w:val="32"/>
          <w:szCs w:val="32"/>
        </w:rPr>
      </w:pPr>
      <w:r>
        <w:rPr>
          <w:rFonts w:hint="eastAsia" w:ascii="宋体" w:hAnsi="宋体" w:eastAsia="仿宋_GB2312"/>
          <w:color w:val="000000"/>
          <w:sz w:val="32"/>
          <w:szCs w:val="32"/>
        </w:rPr>
        <w:t>自治县人民政府应当根据本条例制定实施办法。</w:t>
      </w:r>
    </w:p>
    <w:p>
      <w:pPr>
        <w:keepNext w:val="0"/>
        <w:keepLines w:val="0"/>
        <w:pageBreakBefore w:val="0"/>
        <w:widowControl w:val="0"/>
        <w:kinsoku/>
        <w:wordWrap/>
        <w:overflowPunct/>
        <w:topLinePunct/>
        <w:autoSpaceDE/>
        <w:autoSpaceDN/>
        <w:bidi w:val="0"/>
        <w:adjustRightInd/>
        <w:snapToGrid/>
        <w:spacing w:line="240" w:lineRule="auto"/>
        <w:ind w:firstLine="632" w:firstLineChars="200"/>
        <w:textAlignment w:val="auto"/>
      </w:pPr>
      <w:r>
        <w:rPr>
          <w:rFonts w:hint="eastAsia" w:ascii="宋体" w:hAnsi="宋体" w:eastAsia="黑体"/>
          <w:color w:val="000000"/>
          <w:sz w:val="32"/>
          <w:szCs w:val="32"/>
        </w:rPr>
        <w:t>第三十二条</w:t>
      </w:r>
      <w:r>
        <w:rPr>
          <w:rFonts w:hint="eastAsia"/>
          <w:color w:val="000000"/>
          <w:sz w:val="32"/>
          <w:szCs w:val="32"/>
          <w:lang w:eastAsia="zh-CN"/>
        </w:rPr>
        <w:t>　</w:t>
      </w:r>
      <w:r>
        <w:rPr>
          <w:rFonts w:hint="eastAsia" w:ascii="宋体" w:hAnsi="宋体" w:eastAsia="仿宋_GB2312"/>
          <w:color w:val="000000"/>
          <w:sz w:val="32"/>
          <w:szCs w:val="32"/>
        </w:rPr>
        <w:t>本条例由自治县人民代表大会常务委员会负责解释。</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ˎ̥">
    <w:altName w:val="华光中圆_CNKI"/>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华光中圆_CNKI">
    <w:panose1 w:val="02000500000000000000"/>
    <w:charset w:val="86"/>
    <w:family w:val="auto"/>
    <w:pitch w:val="default"/>
    <w:sig w:usb0="A00002BF" w:usb1="1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M3MTQ4YzRiMTFhMWY4OTdiMTg1NTc1NDk1MzVhMGE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D9804AC"/>
    <w:rsid w:val="11E4354D"/>
    <w:rsid w:val="129770FC"/>
    <w:rsid w:val="13D32358"/>
    <w:rsid w:val="162914F2"/>
    <w:rsid w:val="38260060"/>
    <w:rsid w:val="3DE63740"/>
    <w:rsid w:val="40BF750B"/>
    <w:rsid w:val="481351D2"/>
    <w:rsid w:val="53543565"/>
    <w:rsid w:val="558A062C"/>
    <w:rsid w:val="622F12CF"/>
    <w:rsid w:val="653E08AD"/>
    <w:rsid w:val="71B9247E"/>
    <w:rsid w:val="7F47D4F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Plain Text"/>
    <w:basedOn w:val="1"/>
    <w:uiPriority w:val="99"/>
    <w:rPr>
      <w:rFonts w:ascii="宋体" w:hAnsi="Courier New"/>
      <w:szCs w:val="20"/>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FollowedHyperlink"/>
    <w:unhideWhenUsed/>
    <w:qFormat/>
    <w:uiPriority w:val="99"/>
    <w:rPr>
      <w:color w:val="954F72"/>
      <w:u w:val="single"/>
    </w:rPr>
  </w:style>
  <w:style w:type="character" w:styleId="8">
    <w:name w:val="Hyperlink"/>
    <w:qFormat/>
    <w:uiPriority w:val="99"/>
    <w:rPr>
      <w:rFonts w:hint="default" w:ascii="ˎ̥" w:hAnsi="ˎ̥"/>
      <w:color w:val="0404B3"/>
      <w:sz w:val="18"/>
      <w:szCs w:val="18"/>
      <w:u w:val="none"/>
    </w:rPr>
  </w:style>
  <w:style w:type="character" w:customStyle="1" w:styleId="9">
    <w:name w:val="页脚 字符"/>
    <w:link w:val="3"/>
    <w:qFormat/>
    <w:uiPriority w:val="99"/>
    <w:rPr>
      <w:sz w:val="18"/>
      <w:szCs w:val="18"/>
    </w:rPr>
  </w:style>
  <w:style w:type="character" w:customStyle="1" w:styleId="10">
    <w:name w:val="页眉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3620</Words>
  <Characters>3639</Characters>
  <Lines>1</Lines>
  <Paragraphs>1</Paragraphs>
  <TotalTime>20</TotalTime>
  <ScaleCrop>false</ScaleCrop>
  <LinksUpToDate>false</LinksUpToDate>
  <CharactersWithSpaces>3693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雷</cp:lastModifiedBy>
  <dcterms:modified xsi:type="dcterms:W3CDTF">2023-09-01T07:32:39Z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2052-11.1.0.14309</vt:lpwstr>
  </property>
</Properties>
</file>